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黑体" w:hAnsi="黑体" w:eastAsia="黑体" w:cs="黑体"/>
          <w:b w:val="0"/>
          <w:bCs/>
          <w:color w:val="auto"/>
          <w:sz w:val="32"/>
          <w:szCs w:val="32"/>
          <w:highlight w:val="none"/>
          <w:lang w:val="en-US" w:eastAsia="zh-CN"/>
        </w:rPr>
      </w:pPr>
      <w:r>
        <w:rPr>
          <w:rFonts w:hint="eastAsia" w:ascii="黑体" w:hAnsi="黑体" w:eastAsia="黑体" w:cs="黑体"/>
          <w:b w:val="0"/>
          <w:bCs/>
          <w:color w:val="auto"/>
          <w:sz w:val="32"/>
          <w:szCs w:val="32"/>
          <w:highlight w:val="none"/>
          <w:lang w:eastAsia="zh-CN"/>
        </w:rPr>
        <w:t>附件</w:t>
      </w:r>
      <w:r>
        <w:rPr>
          <w:rFonts w:hint="eastAsia" w:ascii="黑体" w:hAnsi="黑体" w:eastAsia="黑体" w:cs="黑体"/>
          <w:b w:val="0"/>
          <w:bCs/>
          <w:color w:val="auto"/>
          <w:sz w:val="32"/>
          <w:szCs w:val="32"/>
          <w:highlight w:val="none"/>
          <w:lang w:val="en-US" w:eastAsia="zh-CN"/>
        </w:rPr>
        <w:t>2</w:t>
      </w:r>
    </w:p>
    <w:p>
      <w:pPr>
        <w:ind w:firstLine="309" w:firstLineChars="100"/>
        <w:jc w:val="left"/>
        <w:rPr>
          <w:rFonts w:ascii="宋体"/>
          <w:b/>
          <w:color w:val="auto"/>
          <w:sz w:val="32"/>
          <w:szCs w:val="32"/>
          <w:highlight w:val="none"/>
        </w:rPr>
      </w:pPr>
    </w:p>
    <w:p>
      <w:pPr>
        <w:ind w:firstLine="309" w:firstLineChars="100"/>
        <w:jc w:val="left"/>
        <w:rPr>
          <w:rFonts w:ascii="宋体"/>
          <w:b/>
          <w:color w:val="auto"/>
          <w:sz w:val="32"/>
          <w:szCs w:val="32"/>
          <w:highlight w:val="none"/>
        </w:rPr>
      </w:pPr>
    </w:p>
    <w:p>
      <w:pPr>
        <w:ind w:firstLine="309" w:firstLineChars="100"/>
        <w:jc w:val="left"/>
        <w:rPr>
          <w:rFonts w:ascii="宋体"/>
          <w:b/>
          <w:color w:val="auto"/>
          <w:sz w:val="32"/>
          <w:szCs w:val="32"/>
          <w:highlight w:val="none"/>
        </w:rPr>
      </w:pPr>
    </w:p>
    <w:p>
      <w:pPr>
        <w:ind w:firstLine="309" w:firstLineChars="100"/>
        <w:jc w:val="left"/>
        <w:rPr>
          <w:rFonts w:ascii="宋体"/>
          <w:b/>
          <w:color w:val="auto"/>
          <w:sz w:val="32"/>
          <w:szCs w:val="32"/>
          <w:highlight w:val="none"/>
        </w:rPr>
      </w:pPr>
    </w:p>
    <w:p>
      <w:pPr>
        <w:ind w:firstLine="429" w:firstLineChars="100"/>
        <w:jc w:val="center"/>
        <w:rPr>
          <w:rFonts w:hint="eastAsia" w:ascii="黑体" w:hAnsi="黑体" w:eastAsia="黑体" w:cs="黑体"/>
          <w:b w:val="0"/>
          <w:bCs w:val="0"/>
          <w:i w:val="0"/>
          <w:iCs w:val="0"/>
          <w:caps w:val="0"/>
          <w:spacing w:val="0"/>
          <w:sz w:val="44"/>
          <w:szCs w:val="44"/>
          <w:shd w:val="clear" w:color="auto" w:fill="FFFFFF"/>
          <w:lang w:eastAsia="zh-CN"/>
        </w:rPr>
      </w:pPr>
      <w:r>
        <w:rPr>
          <w:rFonts w:hint="eastAsia" w:ascii="黑体" w:hAnsi="黑体" w:eastAsia="黑体" w:cs="黑体"/>
          <w:b w:val="0"/>
          <w:bCs w:val="0"/>
          <w:i w:val="0"/>
          <w:iCs w:val="0"/>
          <w:caps w:val="0"/>
          <w:spacing w:val="0"/>
          <w:sz w:val="44"/>
          <w:szCs w:val="44"/>
          <w:shd w:val="clear" w:color="auto" w:fill="FFFFFF"/>
          <w:lang w:eastAsia="zh-CN"/>
        </w:rPr>
        <w:t>贵阳科技馆</w:t>
      </w:r>
    </w:p>
    <w:p>
      <w:pPr>
        <w:jc w:val="center"/>
        <w:rPr>
          <w:rFonts w:hint="eastAsia" w:ascii="黑体" w:hAnsi="黑体" w:eastAsia="黑体" w:cs="黑体"/>
          <w:b w:val="0"/>
          <w:bCs w:val="0"/>
          <w:i w:val="0"/>
          <w:iCs w:val="0"/>
          <w:caps w:val="0"/>
          <w:spacing w:val="0"/>
          <w:sz w:val="44"/>
          <w:szCs w:val="44"/>
          <w:shd w:val="clear" w:color="auto" w:fill="FFFFFF"/>
          <w:lang w:eastAsia="zh-CN"/>
        </w:rPr>
      </w:pPr>
      <w:r>
        <w:rPr>
          <w:rFonts w:hint="eastAsia" w:ascii="黑体" w:hAnsi="黑体" w:eastAsia="黑体" w:cs="黑体"/>
          <w:b w:val="0"/>
          <w:bCs w:val="0"/>
          <w:i w:val="0"/>
          <w:iCs w:val="0"/>
          <w:caps w:val="0"/>
          <w:spacing w:val="0"/>
          <w:sz w:val="44"/>
          <w:szCs w:val="44"/>
          <w:shd w:val="clear" w:color="auto" w:fill="FFFFFF"/>
          <w:lang w:eastAsia="zh-CN"/>
        </w:rPr>
        <w:t>202</w:t>
      </w:r>
      <w:r>
        <w:rPr>
          <w:rFonts w:hint="eastAsia" w:ascii="黑体" w:hAnsi="黑体" w:eastAsia="黑体" w:cs="黑体"/>
          <w:b w:val="0"/>
          <w:bCs w:val="0"/>
          <w:i w:val="0"/>
          <w:iCs w:val="0"/>
          <w:caps w:val="0"/>
          <w:spacing w:val="0"/>
          <w:sz w:val="44"/>
          <w:szCs w:val="44"/>
          <w:shd w:val="clear" w:color="auto" w:fill="FFFFFF"/>
          <w:lang w:val="en-US" w:eastAsia="zh-CN"/>
        </w:rPr>
        <w:t>5</w:t>
      </w:r>
      <w:r>
        <w:rPr>
          <w:rFonts w:hint="eastAsia" w:ascii="黑体" w:hAnsi="黑体" w:eastAsia="黑体" w:cs="黑体"/>
          <w:b w:val="0"/>
          <w:bCs w:val="0"/>
          <w:i w:val="0"/>
          <w:iCs w:val="0"/>
          <w:caps w:val="0"/>
          <w:spacing w:val="0"/>
          <w:sz w:val="44"/>
          <w:szCs w:val="44"/>
          <w:shd w:val="clear" w:color="auto" w:fill="FFFFFF"/>
          <w:lang w:eastAsia="zh-CN"/>
        </w:rPr>
        <w:t>年部门预算公开信息</w:t>
      </w:r>
    </w:p>
    <w:p>
      <w:pPr>
        <w:jc w:val="left"/>
        <w:rPr>
          <w:rFonts w:ascii="新宋体" w:hAnsi="新宋体" w:eastAsia="新宋体" w:cs="新宋体"/>
          <w:b/>
          <w:color w:val="auto"/>
          <w:sz w:val="32"/>
          <w:szCs w:val="52"/>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宋体"/>
          <w:b/>
          <w:color w:val="auto"/>
          <w:sz w:val="24"/>
          <w:szCs w:val="44"/>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sdt>
      <w:sdtPr>
        <w:rPr>
          <w:rFonts w:ascii="宋体" w:hAnsi="宋体" w:eastAsia="宋体" w:cs="Times New Roman"/>
          <w:kern w:val="2"/>
          <w:sz w:val="21"/>
          <w:szCs w:val="24"/>
          <w:lang w:val="en-US" w:eastAsia="zh-CN" w:bidi="ar-SA"/>
        </w:rPr>
        <w:id w:val="147460272"/>
        <w:docPartObj>
          <w:docPartGallery w:val="Table of Contents"/>
          <w:docPartUnique/>
        </w:docPartObj>
      </w:sdtPr>
      <w:sdtEndPr>
        <w:rPr>
          <w:rFonts w:ascii="宋体" w:hAnsi="宋体" w:eastAsia="宋体" w:cs="Times New Roman"/>
          <w:b/>
          <w:bCs/>
          <w:kern w:val="2"/>
          <w:sz w:val="20"/>
          <w:szCs w:val="20"/>
          <w:lang w:val="en-US" w:eastAsia="zh-CN" w:bidi="ar-SA"/>
        </w:rPr>
      </w:sdtEndPr>
      <w:sdtContent>
        <w:p>
          <w:pPr>
            <w:spacing w:before="0" w:beforeLines="0" w:after="0" w:afterLines="0" w:line="240" w:lineRule="auto"/>
            <w:ind w:left="0" w:leftChars="0" w:right="0" w:rightChars="0" w:firstLine="0" w:firstLineChars="0"/>
            <w:jc w:val="center"/>
            <w:rPr>
              <w:rFonts w:ascii="宋体" w:hAnsi="宋体" w:eastAsia="宋体" w:cs="Times New Roman"/>
              <w:kern w:val="2"/>
              <w:sz w:val="21"/>
              <w:szCs w:val="24"/>
              <w:lang w:val="en-US" w:eastAsia="zh-CN" w:bidi="ar-SA"/>
            </w:rPr>
          </w:pPr>
          <w:bookmarkStart w:id="0" w:name="_Toc5593_WPSOffice_Type2"/>
        </w:p>
        <w:p>
          <w:pPr>
            <w:spacing w:before="0" w:beforeLines="0" w:after="0" w:afterLines="0" w:line="240" w:lineRule="auto"/>
            <w:ind w:left="0" w:leftChars="0" w:right="0" w:rightChars="0" w:firstLine="0" w:firstLineChars="0"/>
            <w:jc w:val="center"/>
          </w:pPr>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pPr>
            <w:pStyle w:val="16"/>
            <w:tabs>
              <w:tab w:val="right" w:leader="dot" w:pos="8732"/>
            </w:tabs>
          </w:pPr>
          <w:r>
            <w:rPr>
              <w:b/>
              <w:bCs/>
            </w:rPr>
            <w:fldChar w:fldCharType="begin"/>
          </w:r>
          <w:r>
            <w:instrText xml:space="preserve"> HYPERLINK \l _Toc4580_WPSOffice_Level1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4cc3f5c8-7f71-456e-9416-0fed207edcd3}"/>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一、单位概况</w:t>
              </w:r>
            </w:sdtContent>
          </w:sdt>
          <w:r>
            <w:rPr>
              <w:b/>
              <w:bCs/>
            </w:rPr>
            <w:tab/>
          </w:r>
          <w:bookmarkStart w:id="1" w:name="_Toc4580_WPSOffice_Level1Page"/>
          <w:r>
            <w:rPr>
              <w:b/>
              <w:bCs/>
            </w:rPr>
            <w:t>3</w:t>
          </w:r>
          <w:bookmarkEnd w:id="1"/>
          <w:r>
            <w:rPr>
              <w:b/>
              <w:bCs/>
            </w:rPr>
            <w:fldChar w:fldCharType="end"/>
          </w:r>
        </w:p>
        <w:p>
          <w:pPr>
            <w:pStyle w:val="17"/>
            <w:tabs>
              <w:tab w:val="right" w:leader="dot" w:pos="8732"/>
            </w:tabs>
          </w:pPr>
          <w:r>
            <w:fldChar w:fldCharType="begin"/>
          </w:r>
          <w:r>
            <w:instrText xml:space="preserve"> HYPERLINK \l _Toc5593_WPSOffice_Level2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e737bdd4-74df-40ec-b935-0833342914a6}"/>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（一）单位主要职能</w:t>
              </w:r>
            </w:sdtContent>
          </w:sdt>
          <w:r>
            <w:tab/>
          </w:r>
          <w:bookmarkStart w:id="2" w:name="_Toc5593_WPSOffice_Level2Page"/>
          <w:r>
            <w:t>3</w:t>
          </w:r>
          <w:bookmarkEnd w:id="2"/>
          <w:r>
            <w:fldChar w:fldCharType="end"/>
          </w:r>
        </w:p>
        <w:p>
          <w:pPr>
            <w:pStyle w:val="17"/>
            <w:tabs>
              <w:tab w:val="right" w:leader="dot" w:pos="8732"/>
            </w:tabs>
          </w:pPr>
          <w:r>
            <w:fldChar w:fldCharType="begin"/>
          </w:r>
          <w:r>
            <w:instrText xml:space="preserve"> HYPERLINK \l _Toc21484_WPSOffice_Level2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cf98847a-29ea-4e3b-ad43-8adcc6a14553}"/>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（二）单位机构设置</w:t>
              </w:r>
            </w:sdtContent>
          </w:sdt>
          <w:r>
            <w:tab/>
          </w:r>
          <w:bookmarkStart w:id="3" w:name="_Toc21484_WPSOffice_Level2Page"/>
          <w:r>
            <w:t>3</w:t>
          </w:r>
          <w:bookmarkEnd w:id="3"/>
          <w:r>
            <w:fldChar w:fldCharType="end"/>
          </w:r>
        </w:p>
        <w:p>
          <w:pPr>
            <w:pStyle w:val="17"/>
            <w:tabs>
              <w:tab w:val="right" w:leader="dot" w:pos="8732"/>
            </w:tabs>
          </w:pPr>
          <w:r>
            <w:fldChar w:fldCharType="begin"/>
          </w:r>
          <w:r>
            <w:instrText xml:space="preserve"> HYPERLINK \l _Toc971_WPSOffice_Level2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4d221aca-11c5-42cd-bb20-ec5ac27e1d7b}"/>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（三）预算单位构成</w:t>
              </w:r>
            </w:sdtContent>
          </w:sdt>
          <w:r>
            <w:tab/>
          </w:r>
          <w:bookmarkStart w:id="4" w:name="_Toc971_WPSOffice_Level2Page"/>
          <w:r>
            <w:t>3</w:t>
          </w:r>
          <w:bookmarkEnd w:id="4"/>
          <w:r>
            <w:fldChar w:fldCharType="end"/>
          </w:r>
        </w:p>
        <w:p>
          <w:pPr>
            <w:pStyle w:val="17"/>
            <w:tabs>
              <w:tab w:val="right" w:leader="dot" w:pos="8732"/>
            </w:tabs>
          </w:pPr>
          <w:r>
            <w:fldChar w:fldCharType="begin"/>
          </w:r>
          <w:r>
            <w:instrText xml:space="preserve"> HYPERLINK \l _Toc23641_WPSOffice_Level2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8d9caba8-e915-44a0-8da9-b524aa2e8e01}"/>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（四）单位人员构成</w:t>
              </w:r>
            </w:sdtContent>
          </w:sdt>
          <w:r>
            <w:tab/>
          </w:r>
          <w:bookmarkStart w:id="5" w:name="_Toc23641_WPSOffice_Level2Page"/>
          <w:r>
            <w:t>3</w:t>
          </w:r>
          <w:bookmarkEnd w:id="5"/>
          <w:r>
            <w:fldChar w:fldCharType="end"/>
          </w:r>
        </w:p>
        <w:p>
          <w:pPr>
            <w:pStyle w:val="16"/>
            <w:tabs>
              <w:tab w:val="right" w:leader="dot" w:pos="8732"/>
            </w:tabs>
          </w:pPr>
          <w:r>
            <w:rPr>
              <w:b/>
              <w:bCs/>
            </w:rPr>
            <w:fldChar w:fldCharType="begin"/>
          </w:r>
          <w:r>
            <w:instrText xml:space="preserve"> HYPERLINK \l _Toc5593_WPSOffice_Level1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87d95b1c-df9e-4387-bd36-736b291b6328}"/>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二、单位主要工作任务和政策依据</w:t>
              </w:r>
            </w:sdtContent>
          </w:sdt>
          <w:r>
            <w:rPr>
              <w:b/>
              <w:bCs/>
            </w:rPr>
            <w:tab/>
          </w:r>
          <w:bookmarkStart w:id="6" w:name="_Toc5593_WPSOffice_Level1Page"/>
          <w:r>
            <w:rPr>
              <w:b/>
              <w:bCs/>
            </w:rPr>
            <w:t>4</w:t>
          </w:r>
          <w:bookmarkEnd w:id="6"/>
          <w:r>
            <w:rPr>
              <w:b/>
              <w:bCs/>
            </w:rPr>
            <w:fldChar w:fldCharType="end"/>
          </w:r>
        </w:p>
        <w:p>
          <w:pPr>
            <w:pStyle w:val="16"/>
            <w:tabs>
              <w:tab w:val="right" w:leader="dot" w:pos="8732"/>
            </w:tabs>
          </w:pPr>
          <w:r>
            <w:rPr>
              <w:b/>
              <w:bCs/>
            </w:rPr>
            <w:fldChar w:fldCharType="begin"/>
          </w:r>
          <w:r>
            <w:instrText xml:space="preserve"> HYPERLINK \l _Toc21484_WPSOffice_Level1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b58bb233-59e8-4f2f-8715-d96534589ba1}"/>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三、部门预算安排情况说明</w:t>
              </w:r>
            </w:sdtContent>
          </w:sdt>
          <w:r>
            <w:rPr>
              <w:b/>
              <w:bCs/>
            </w:rPr>
            <w:tab/>
          </w:r>
          <w:bookmarkStart w:id="7" w:name="_Toc21484_WPSOffice_Level1Page"/>
          <w:r>
            <w:rPr>
              <w:b/>
              <w:bCs/>
            </w:rPr>
            <w:t>4</w:t>
          </w:r>
          <w:bookmarkEnd w:id="7"/>
          <w:r>
            <w:rPr>
              <w:b/>
              <w:bCs/>
            </w:rPr>
            <w:fldChar w:fldCharType="end"/>
          </w:r>
        </w:p>
        <w:p>
          <w:pPr>
            <w:pStyle w:val="17"/>
            <w:tabs>
              <w:tab w:val="right" w:leader="dot" w:pos="8732"/>
            </w:tabs>
          </w:pPr>
          <w:r>
            <w:fldChar w:fldCharType="begin"/>
          </w:r>
          <w:r>
            <w:instrText xml:space="preserve"> HYPERLINK \l _Toc26334_WPSOffice_Level2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4fefc3b4-2d50-4338-a1a8-4889dcc4b521}"/>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（一）部门收支总体情况（详见附表1-3）</w:t>
              </w:r>
            </w:sdtContent>
          </w:sdt>
          <w:r>
            <w:tab/>
          </w:r>
          <w:bookmarkStart w:id="8" w:name="_Toc26334_WPSOffice_Level2Page"/>
          <w:r>
            <w:t>4</w:t>
          </w:r>
          <w:bookmarkEnd w:id="8"/>
          <w:r>
            <w:fldChar w:fldCharType="end"/>
          </w:r>
        </w:p>
        <w:p>
          <w:pPr>
            <w:pStyle w:val="17"/>
            <w:tabs>
              <w:tab w:val="right" w:leader="dot" w:pos="8732"/>
            </w:tabs>
          </w:pPr>
          <w:r>
            <w:fldChar w:fldCharType="begin"/>
          </w:r>
          <w:r>
            <w:instrText xml:space="preserve"> HYPERLINK \l _Toc25780_WPSOffice_Level2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4a89f48d-a47d-46ec-ab56-5bbb88a96d16}"/>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（二）财政拨款收支总体情况（详见表4）</w:t>
              </w:r>
            </w:sdtContent>
          </w:sdt>
          <w:r>
            <w:tab/>
          </w:r>
          <w:bookmarkStart w:id="9" w:name="_Toc25780_WPSOffice_Level2Page"/>
          <w:r>
            <w:t>5</w:t>
          </w:r>
          <w:bookmarkEnd w:id="9"/>
          <w:r>
            <w:fldChar w:fldCharType="end"/>
          </w:r>
        </w:p>
        <w:p>
          <w:pPr>
            <w:pStyle w:val="17"/>
            <w:tabs>
              <w:tab w:val="right" w:leader="dot" w:pos="8732"/>
            </w:tabs>
          </w:pPr>
          <w:r>
            <w:fldChar w:fldCharType="begin"/>
          </w:r>
          <w:r>
            <w:instrText xml:space="preserve"> HYPERLINK \l _Toc17711_WPSOffice_Level2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423cd953-7b32-4632-ba3b-c712a62b8916}"/>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（三）一般公共预算支出情况（详见表5）</w:t>
              </w:r>
            </w:sdtContent>
          </w:sdt>
          <w:r>
            <w:tab/>
          </w:r>
          <w:bookmarkStart w:id="10" w:name="_Toc17711_WPSOffice_Level2Page"/>
          <w:r>
            <w:t>6</w:t>
          </w:r>
          <w:bookmarkEnd w:id="10"/>
          <w:r>
            <w:fldChar w:fldCharType="end"/>
          </w:r>
        </w:p>
        <w:p>
          <w:pPr>
            <w:pStyle w:val="17"/>
            <w:tabs>
              <w:tab w:val="right" w:leader="dot" w:pos="8732"/>
            </w:tabs>
          </w:pPr>
          <w:r>
            <w:fldChar w:fldCharType="begin"/>
          </w:r>
          <w:r>
            <w:instrText xml:space="preserve"> HYPERLINK \l _Toc16188_WPSOffice_Level2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9a26e859-b3ee-42b5-a43c-5bd223720203}"/>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（四）一般公共预算基本支出情况（详见表6、7）</w:t>
              </w:r>
            </w:sdtContent>
          </w:sdt>
          <w:r>
            <w:tab/>
          </w:r>
          <w:bookmarkStart w:id="11" w:name="_Toc16188_WPSOffice_Level2Page"/>
          <w:r>
            <w:t>6</w:t>
          </w:r>
          <w:bookmarkEnd w:id="11"/>
          <w:r>
            <w:fldChar w:fldCharType="end"/>
          </w:r>
        </w:p>
        <w:p>
          <w:pPr>
            <w:pStyle w:val="17"/>
            <w:tabs>
              <w:tab w:val="right" w:leader="dot" w:pos="8732"/>
            </w:tabs>
          </w:pPr>
          <w:r>
            <w:fldChar w:fldCharType="begin"/>
          </w:r>
          <w:r>
            <w:instrText xml:space="preserve"> HYPERLINK \l _Toc16972_WPSOffice_Level2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b3b3f46e-b807-436c-ad91-c9842ebfee70}"/>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（五）政府性基金预算支出情况（详见表8）</w:t>
              </w:r>
            </w:sdtContent>
          </w:sdt>
          <w:r>
            <w:tab/>
          </w:r>
          <w:bookmarkStart w:id="12" w:name="_Toc16972_WPSOffice_Level2Page"/>
          <w:r>
            <w:t>6</w:t>
          </w:r>
          <w:bookmarkEnd w:id="12"/>
          <w:r>
            <w:fldChar w:fldCharType="end"/>
          </w:r>
        </w:p>
        <w:p>
          <w:pPr>
            <w:pStyle w:val="17"/>
            <w:tabs>
              <w:tab w:val="right" w:leader="dot" w:pos="8732"/>
            </w:tabs>
          </w:pPr>
          <w:r>
            <w:fldChar w:fldCharType="begin"/>
          </w:r>
          <w:r>
            <w:instrText xml:space="preserve"> HYPERLINK \l _Toc23139_WPSOffice_Level2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e29efa9c-a763-45eb-97af-34deb7086061}"/>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（六）国有资本经营预算支出情况（详见表9）</w:t>
              </w:r>
            </w:sdtContent>
          </w:sdt>
          <w:r>
            <w:tab/>
          </w:r>
          <w:bookmarkStart w:id="13" w:name="_Toc23139_WPSOffice_Level2Page"/>
          <w:r>
            <w:t>6</w:t>
          </w:r>
          <w:bookmarkEnd w:id="13"/>
          <w:r>
            <w:fldChar w:fldCharType="end"/>
          </w:r>
        </w:p>
        <w:p>
          <w:pPr>
            <w:pStyle w:val="17"/>
            <w:tabs>
              <w:tab w:val="right" w:leader="dot" w:pos="8732"/>
            </w:tabs>
          </w:pPr>
          <w:r>
            <w:fldChar w:fldCharType="begin"/>
          </w:r>
          <w:r>
            <w:instrText xml:space="preserve"> HYPERLINK \l _Toc3961_WPSOffice_Level2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e78321b0-f680-47ed-9d91-766c2421d789}"/>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（七）财政拨款“三公”经费支出预算情况（详见表10）</w:t>
              </w:r>
            </w:sdtContent>
          </w:sdt>
          <w:r>
            <w:tab/>
          </w:r>
          <w:bookmarkStart w:id="14" w:name="_Toc3961_WPSOffice_Level2Page"/>
          <w:r>
            <w:t>7</w:t>
          </w:r>
          <w:bookmarkEnd w:id="14"/>
          <w:r>
            <w:fldChar w:fldCharType="end"/>
          </w:r>
        </w:p>
        <w:p>
          <w:pPr>
            <w:pStyle w:val="17"/>
            <w:tabs>
              <w:tab w:val="right" w:leader="dot" w:pos="8732"/>
            </w:tabs>
          </w:pPr>
          <w:r>
            <w:fldChar w:fldCharType="begin"/>
          </w:r>
          <w:r>
            <w:instrText xml:space="preserve"> HYPERLINK \l _Toc5267_WPSOffice_Level2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fc3a50d5-8896-4398-a98a-8bfaa7e813f4}"/>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（八）部门政府采购预算情况（详见表11）</w:t>
              </w:r>
            </w:sdtContent>
          </w:sdt>
          <w:r>
            <w:tab/>
          </w:r>
          <w:bookmarkStart w:id="15" w:name="_Toc5267_WPSOffice_Level2Page"/>
          <w:r>
            <w:t>8</w:t>
          </w:r>
          <w:bookmarkEnd w:id="15"/>
          <w:r>
            <w:fldChar w:fldCharType="end"/>
          </w:r>
        </w:p>
        <w:p>
          <w:pPr>
            <w:pStyle w:val="17"/>
            <w:tabs>
              <w:tab w:val="right" w:leader="dot" w:pos="8732"/>
            </w:tabs>
          </w:pPr>
          <w:r>
            <w:fldChar w:fldCharType="begin"/>
          </w:r>
          <w:r>
            <w:instrText xml:space="preserve"> HYPERLINK \l _Toc740_WPSOffice_Level2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f06f43f1-140b-40dd-be72-875991bc3088}"/>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（九）市对下转移支付预算情况（详见表12）</w:t>
              </w:r>
            </w:sdtContent>
          </w:sdt>
          <w:r>
            <w:tab/>
          </w:r>
          <w:bookmarkStart w:id="16" w:name="_Toc740_WPSOffice_Level2Page"/>
          <w:r>
            <w:t>8</w:t>
          </w:r>
          <w:bookmarkEnd w:id="16"/>
          <w:r>
            <w:fldChar w:fldCharType="end"/>
          </w:r>
        </w:p>
        <w:p>
          <w:pPr>
            <w:pStyle w:val="17"/>
            <w:tabs>
              <w:tab w:val="right" w:leader="dot" w:pos="8732"/>
            </w:tabs>
          </w:pPr>
          <w:r>
            <w:fldChar w:fldCharType="begin"/>
          </w:r>
          <w:r>
            <w:instrText xml:space="preserve"> HYPERLINK \l _Toc16131_WPSOffice_Level2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5ef76bca-07c8-48b4-9e65-b5944a481929}"/>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（十）部门整体支出绩效目标情况（详见表13）</w:t>
              </w:r>
            </w:sdtContent>
          </w:sdt>
          <w:r>
            <w:tab/>
          </w:r>
          <w:bookmarkStart w:id="17" w:name="_Toc16131_WPSOffice_Level2Page"/>
          <w:r>
            <w:t>8</w:t>
          </w:r>
          <w:bookmarkEnd w:id="17"/>
          <w:r>
            <w:fldChar w:fldCharType="end"/>
          </w:r>
        </w:p>
        <w:p>
          <w:pPr>
            <w:pStyle w:val="17"/>
            <w:tabs>
              <w:tab w:val="right" w:leader="dot" w:pos="8732"/>
            </w:tabs>
          </w:pPr>
          <w:r>
            <w:fldChar w:fldCharType="begin"/>
          </w:r>
          <w:r>
            <w:instrText xml:space="preserve"> HYPERLINK \l _Toc13728_WPSOffice_Level2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fa9ae1b6-f905-41f0-aa98-72c1f8e8ad88}"/>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（十一）项目支出绩效目标情况（详见表14）</w:t>
              </w:r>
            </w:sdtContent>
          </w:sdt>
          <w:r>
            <w:tab/>
          </w:r>
          <w:bookmarkStart w:id="18" w:name="_Toc13728_WPSOffice_Level2Page"/>
          <w:r>
            <w:t>9</w:t>
          </w:r>
          <w:bookmarkEnd w:id="18"/>
          <w:r>
            <w:fldChar w:fldCharType="end"/>
          </w:r>
        </w:p>
        <w:p>
          <w:pPr>
            <w:pStyle w:val="16"/>
            <w:tabs>
              <w:tab w:val="right" w:leader="dot" w:pos="8732"/>
            </w:tabs>
          </w:pPr>
          <w:r>
            <w:rPr>
              <w:b/>
              <w:bCs/>
            </w:rPr>
            <w:fldChar w:fldCharType="begin"/>
          </w:r>
          <w:r>
            <w:instrText xml:space="preserve"> HYPERLINK \l _Toc971_WPSOffice_Level1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3a9adeac-5966-42bd-af82-acd59baaabd1}"/>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四、其他重要事项说明</w:t>
              </w:r>
            </w:sdtContent>
          </w:sdt>
          <w:r>
            <w:rPr>
              <w:b/>
              <w:bCs/>
            </w:rPr>
            <w:tab/>
          </w:r>
          <w:bookmarkStart w:id="19" w:name="_Toc971_WPSOffice_Level1Page"/>
          <w:r>
            <w:rPr>
              <w:b/>
              <w:bCs/>
            </w:rPr>
            <w:t>9</w:t>
          </w:r>
          <w:bookmarkEnd w:id="19"/>
          <w:r>
            <w:rPr>
              <w:b/>
              <w:bCs/>
            </w:rPr>
            <w:fldChar w:fldCharType="end"/>
          </w:r>
        </w:p>
        <w:p>
          <w:pPr>
            <w:pStyle w:val="17"/>
            <w:tabs>
              <w:tab w:val="right" w:leader="dot" w:pos="8732"/>
            </w:tabs>
          </w:pPr>
          <w:r>
            <w:fldChar w:fldCharType="begin"/>
          </w:r>
          <w:r>
            <w:instrText xml:space="preserve"> HYPERLINK \l _Toc20558_WPSOffice_Level2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25dabf9e-fa01-41e7-bd6e-590171ba10ff}"/>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（一）机关（机构）运行经费情况</w:t>
              </w:r>
            </w:sdtContent>
          </w:sdt>
          <w:r>
            <w:tab/>
          </w:r>
          <w:bookmarkStart w:id="20" w:name="_Toc20558_WPSOffice_Level2Page"/>
          <w:r>
            <w:t>10</w:t>
          </w:r>
          <w:bookmarkEnd w:id="20"/>
          <w:r>
            <w:fldChar w:fldCharType="end"/>
          </w:r>
        </w:p>
        <w:p>
          <w:pPr>
            <w:pStyle w:val="17"/>
            <w:tabs>
              <w:tab w:val="right" w:leader="dot" w:pos="8732"/>
            </w:tabs>
          </w:pPr>
          <w:r>
            <w:fldChar w:fldCharType="begin"/>
          </w:r>
          <w:r>
            <w:instrText xml:space="preserve"> HYPERLINK \l _Toc18020_WPSOffice_Level2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c73c14b1-e500-4f24-8d4c-9be391db3eaa}"/>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（二）国有资产占有使用情况</w:t>
              </w:r>
            </w:sdtContent>
          </w:sdt>
          <w:r>
            <w:tab/>
          </w:r>
          <w:bookmarkStart w:id="21" w:name="_Toc18020_WPSOffice_Level2Page"/>
          <w:r>
            <w:t>10</w:t>
          </w:r>
          <w:bookmarkEnd w:id="21"/>
          <w:r>
            <w:fldChar w:fldCharType="end"/>
          </w:r>
        </w:p>
        <w:p>
          <w:pPr>
            <w:pStyle w:val="17"/>
            <w:tabs>
              <w:tab w:val="right" w:leader="dot" w:pos="8732"/>
            </w:tabs>
          </w:pPr>
          <w:r>
            <w:fldChar w:fldCharType="begin"/>
          </w:r>
          <w:r>
            <w:instrText xml:space="preserve"> HYPERLINK \l _Toc3245_WPSOffice_Level2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b2a04d05-967f-4879-b57c-36218e169f8d}"/>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（三）预算绩效管理情况</w:t>
              </w:r>
            </w:sdtContent>
          </w:sdt>
          <w:r>
            <w:tab/>
          </w:r>
          <w:bookmarkStart w:id="22" w:name="_Toc3245_WPSOffice_Level2Page"/>
          <w:r>
            <w:t>10</w:t>
          </w:r>
          <w:bookmarkEnd w:id="22"/>
          <w:r>
            <w:fldChar w:fldCharType="end"/>
          </w:r>
        </w:p>
        <w:p>
          <w:pPr>
            <w:pStyle w:val="17"/>
            <w:tabs>
              <w:tab w:val="right" w:leader="dot" w:pos="8732"/>
            </w:tabs>
          </w:pPr>
          <w:r>
            <w:fldChar w:fldCharType="begin"/>
          </w:r>
          <w:r>
            <w:instrText xml:space="preserve"> HYPERLINK \l _Toc3940_WPSOffice_Level2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c61fbc28-a402-40e6-91a8-f3ca912651d5}"/>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（四）项目支出安排情况</w:t>
              </w:r>
            </w:sdtContent>
          </w:sdt>
          <w:r>
            <w:tab/>
          </w:r>
          <w:bookmarkStart w:id="23" w:name="_Toc3940_WPSOffice_Level2Page"/>
          <w:r>
            <w:t>10</w:t>
          </w:r>
          <w:bookmarkEnd w:id="23"/>
          <w:r>
            <w:fldChar w:fldCharType="end"/>
          </w:r>
        </w:p>
        <w:p>
          <w:pPr>
            <w:pStyle w:val="17"/>
            <w:tabs>
              <w:tab w:val="right" w:leader="dot" w:pos="8732"/>
            </w:tabs>
          </w:pPr>
          <w:r>
            <w:fldChar w:fldCharType="begin"/>
          </w:r>
          <w:r>
            <w:instrText xml:space="preserve"> HYPERLINK \l _Toc22779_WPSOffice_Level2 </w:instrText>
          </w:r>
          <w:r>
            <w:fldChar w:fldCharType="separate"/>
          </w:r>
          <w:sdt>
            <w:sdtPr>
              <w:rPr>
                <w:rFonts w:ascii="Times New Roman" w:hAnsi="Times New Roman" w:eastAsia="宋体" w:cs="Times New Roman"/>
                <w:kern w:val="2"/>
                <w:sz w:val="21"/>
                <w:szCs w:val="24"/>
                <w:lang w:val="en-US" w:eastAsia="zh-CN" w:bidi="ar-SA"/>
              </w:rPr>
              <w:id w:val="147460272"/>
              <w:placeholder>
                <w:docPart w:val="{3221e7e4-2a61-4fa3-af0e-a2f6dd406da7}"/>
              </w:placeholder>
            </w:sdtPr>
            <w:sdtEndPr>
              <w:rPr>
                <w:rFonts w:ascii="Times New Roman" w:hAnsi="Times New Roman" w:eastAsia="宋体" w:cs="Times New Roman"/>
                <w:kern w:val="2"/>
                <w:sz w:val="21"/>
                <w:szCs w:val="24"/>
                <w:lang w:val="en-US" w:eastAsia="zh-CN" w:bidi="ar-SA"/>
              </w:rPr>
            </w:sdtEndPr>
            <w:sdtContent>
              <w:r>
                <w:rPr>
                  <w:rFonts w:hint="eastAsia" w:ascii="楷体_GB2312" w:hAnsi="楷体_GB2312" w:eastAsia="楷体_GB2312" w:cs="楷体_GB2312"/>
                </w:rPr>
                <w:t>（五）名词解释</w:t>
              </w:r>
            </w:sdtContent>
          </w:sdt>
          <w:r>
            <w:tab/>
          </w:r>
          <w:bookmarkStart w:id="24" w:name="_Toc22779_WPSOffice_Level2Page"/>
          <w:r>
            <w:t>11</w:t>
          </w:r>
          <w:bookmarkEnd w:id="24"/>
          <w:r>
            <w:fldChar w:fldCharType="end"/>
          </w:r>
        </w:p>
        <w:p>
          <w:pPr>
            <w:pStyle w:val="16"/>
            <w:tabs>
              <w:tab w:val="right" w:leader="dot" w:pos="8732"/>
            </w:tabs>
          </w:pPr>
          <w:r>
            <w:rPr>
              <w:b/>
              <w:bCs/>
            </w:rPr>
            <w:fldChar w:fldCharType="begin"/>
          </w:r>
          <w:r>
            <w:instrText xml:space="preserve"> HYPERLINK \l _Toc23641_WPSOffice_Level1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60272"/>
              <w:placeholder>
                <w:docPart w:val="{6295e2b2-8278-4ff0-9ad2-d8e4838f006e}"/>
              </w:placeholder>
            </w:sdtPr>
            <w:sdtEndPr>
              <w:rPr>
                <w:rFonts w:ascii="Times New Roman" w:hAnsi="Times New Roman" w:eastAsia="宋体" w:cs="Times New Roman"/>
                <w:b/>
                <w:bCs/>
                <w:kern w:val="2"/>
                <w:sz w:val="21"/>
                <w:szCs w:val="24"/>
                <w:lang w:val="en-US" w:eastAsia="zh-CN" w:bidi="ar-SA"/>
              </w:rPr>
            </w:sdtEndPr>
            <w:sdtContent>
              <w:r>
                <w:rPr>
                  <w:rFonts w:hint="eastAsia" w:ascii="黑体" w:hAnsi="黑体" w:eastAsia="黑体" w:cs="黑体"/>
                  <w:b/>
                  <w:bCs/>
                </w:rPr>
                <w:t>五、2025年部门预算公开表（附表）</w:t>
              </w:r>
            </w:sdtContent>
          </w:sdt>
          <w:r>
            <w:rPr>
              <w:b/>
              <w:bCs/>
            </w:rPr>
            <w:tab/>
          </w:r>
          <w:bookmarkStart w:id="25" w:name="_Toc23641_WPSOffice_Level1Page"/>
          <w:r>
            <w:rPr>
              <w:b/>
              <w:bCs/>
            </w:rPr>
            <w:t>1</w:t>
          </w:r>
          <w:bookmarkEnd w:id="25"/>
          <w:r>
            <w:rPr>
              <w:b/>
              <w:bCs/>
            </w:rPr>
            <w:fldChar w:fldCharType="end"/>
          </w:r>
          <w:bookmarkEnd w:id="0"/>
          <w:r>
            <w:rPr>
              <w:rFonts w:hint="eastAsia"/>
              <w:b/>
              <w:bCs/>
              <w:lang w:val="en-US" w:eastAsia="zh-CN"/>
            </w:rPr>
            <w:t>3</w:t>
          </w:r>
        </w:p>
      </w:sdtContent>
    </w:sdt>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jc w:val="left"/>
        <w:rPr>
          <w:rFonts w:ascii="仿宋" w:eastAsia="仿宋"/>
          <w:color w:val="auto"/>
          <w:sz w:val="32"/>
          <w:szCs w:val="32"/>
          <w:highlight w:val="none"/>
        </w:rPr>
      </w:pPr>
    </w:p>
    <w:p>
      <w:pPr>
        <w:pStyle w:val="9"/>
        <w:keepNext w:val="0"/>
        <w:keepLines w:val="0"/>
        <w:pageBreakBefore/>
        <w:widowControl w:val="0"/>
        <w:kinsoku/>
        <w:wordWrap/>
        <w:overflowPunct/>
        <w:topLinePunct w:val="0"/>
        <w:autoSpaceDE/>
        <w:autoSpaceDN/>
        <w:bidi w:val="0"/>
        <w:adjustRightInd/>
        <w:snapToGrid/>
        <w:spacing w:line="760" w:lineRule="exact"/>
        <w:ind w:left="0" w:leftChars="0" w:firstLine="618" w:firstLineChars="200"/>
        <w:textAlignment w:val="auto"/>
        <w:rPr>
          <w:rFonts w:hint="eastAsia" w:ascii="黑体" w:hAnsi="黑体" w:eastAsia="黑体" w:cs="黑体"/>
          <w:bCs/>
          <w:color w:val="auto"/>
          <w:sz w:val="32"/>
          <w:szCs w:val="32"/>
          <w:highlight w:val="none"/>
        </w:rPr>
      </w:pPr>
      <w:bookmarkStart w:id="26" w:name="_Toc4580_WPSOffice_Level1"/>
      <w:r>
        <w:rPr>
          <w:rFonts w:hint="eastAsia" w:ascii="黑体" w:hAnsi="黑体" w:eastAsia="黑体" w:cs="黑体"/>
          <w:bCs/>
          <w:color w:val="auto"/>
          <w:sz w:val="32"/>
          <w:szCs w:val="32"/>
          <w:highlight w:val="none"/>
        </w:rPr>
        <w:t>一、单位概况</w:t>
      </w:r>
      <w:bookmarkEnd w:id="26"/>
    </w:p>
    <w:p>
      <w:pPr>
        <w:keepNext w:val="0"/>
        <w:keepLines w:val="0"/>
        <w:kinsoku/>
        <w:wordWrap/>
        <w:overflowPunct/>
        <w:topLinePunct w:val="0"/>
        <w:autoSpaceDE/>
        <w:autoSpaceDN/>
        <w:bidi w:val="0"/>
        <w:adjustRightInd/>
        <w:snapToGrid/>
        <w:spacing w:before="0" w:after="0" w:line="760" w:lineRule="exact"/>
        <w:ind w:left="0" w:right="0" w:firstLine="556"/>
        <w:jc w:val="both"/>
        <w:textAlignment w:val="auto"/>
        <w:rPr>
          <w:rFonts w:hint="eastAsia" w:ascii="楷体_GB2312" w:hAnsi="楷体_GB2312" w:eastAsia="楷体_GB2312" w:cs="楷体_GB2312"/>
          <w:bCs/>
          <w:color w:val="auto"/>
          <w:kern w:val="2"/>
          <w:sz w:val="32"/>
          <w:szCs w:val="32"/>
          <w:highlight w:val="none"/>
          <w:lang w:val="en-US" w:eastAsia="zh-CN" w:bidi="ar-SA"/>
        </w:rPr>
      </w:pPr>
      <w:bookmarkStart w:id="27" w:name="_Toc5593_WPSOffice_Level2"/>
      <w:r>
        <w:rPr>
          <w:rFonts w:hint="eastAsia" w:ascii="楷体_GB2312" w:hAnsi="楷体_GB2312" w:eastAsia="楷体_GB2312" w:cs="楷体_GB2312"/>
          <w:bCs/>
          <w:color w:val="auto"/>
          <w:sz w:val="32"/>
          <w:szCs w:val="32"/>
          <w:highlight w:val="none"/>
        </w:rPr>
        <w:t>（一）</w:t>
      </w:r>
      <w:r>
        <w:rPr>
          <w:rFonts w:hint="eastAsia" w:ascii="楷体_GB2312" w:hAnsi="楷体_GB2312" w:eastAsia="楷体_GB2312" w:cs="楷体_GB2312"/>
          <w:bCs/>
          <w:color w:val="auto"/>
          <w:kern w:val="2"/>
          <w:sz w:val="32"/>
          <w:szCs w:val="32"/>
          <w:highlight w:val="none"/>
          <w:lang w:val="en-US" w:eastAsia="zh-CN" w:bidi="ar-SA"/>
        </w:rPr>
        <w:t>单位主要职能</w:t>
      </w:r>
      <w:bookmarkEnd w:id="27"/>
      <w:r>
        <w:rPr>
          <w:rFonts w:hint="eastAsia" w:ascii="楷体_GB2312" w:hAnsi="楷体_GB2312" w:eastAsia="楷体_GB2312" w:cs="楷体_GB2312"/>
          <w:bCs/>
          <w:color w:val="auto"/>
          <w:kern w:val="2"/>
          <w:sz w:val="32"/>
          <w:szCs w:val="32"/>
          <w:highlight w:val="none"/>
          <w:lang w:val="en-US" w:eastAsia="zh-CN" w:bidi="ar-SA"/>
        </w:rPr>
        <w:t>：</w:t>
      </w:r>
      <w:bookmarkStart w:id="28" w:name="_Toc21484_WPSOffice_Level2"/>
    </w:p>
    <w:p>
      <w:pPr>
        <w:keepNext w:val="0"/>
        <w:keepLines w:val="0"/>
        <w:kinsoku/>
        <w:wordWrap/>
        <w:overflowPunct/>
        <w:topLinePunct w:val="0"/>
        <w:autoSpaceDE/>
        <w:autoSpaceDN/>
        <w:bidi w:val="0"/>
        <w:adjustRightInd/>
        <w:snapToGrid/>
        <w:spacing w:before="0" w:after="0" w:line="760" w:lineRule="exact"/>
        <w:ind w:left="0" w:right="0" w:firstLine="556"/>
        <w:jc w:val="both"/>
        <w:textAlignment w:val="auto"/>
        <w:rPr>
          <w:rFonts w:hint="eastAsia" w:ascii="仿宋" w:hAnsi="仿宋" w:eastAsia="仿宋" w:cs="仿宋"/>
          <w:color w:val="auto"/>
          <w:spacing w:val="0"/>
          <w:position w:val="0"/>
          <w:sz w:val="30"/>
          <w:szCs w:val="30"/>
          <w:shd w:val="clear" w:fill="auto"/>
        </w:rPr>
      </w:pPr>
      <w:r>
        <w:rPr>
          <w:rFonts w:hint="eastAsia" w:ascii="仿宋" w:hAnsi="仿宋" w:eastAsia="仿宋" w:cs="仿宋"/>
          <w:color w:val="auto"/>
          <w:spacing w:val="0"/>
          <w:position w:val="0"/>
          <w:sz w:val="30"/>
          <w:szCs w:val="30"/>
          <w:shd w:val="clear" w:fill="auto"/>
        </w:rPr>
        <w:t>开展院士专家高端智力人才考察等技术、服务活动；搭建决策咨询、科技咨询及项目合作交流服务平台；建立院士专家技术信息、科技项目资源库，完善科技人才培养合作机制；举办“院士专家论坛”等高层次科技学术交流论坛报告会活动；开展院士专家高端治理人才考察、调研、论证、评审等技术服务活动。</w:t>
      </w:r>
    </w:p>
    <w:p>
      <w:pPr>
        <w:pStyle w:val="3"/>
        <w:keepNext w:val="0"/>
        <w:keepLines w:val="0"/>
        <w:kinsoku/>
        <w:wordWrap/>
        <w:overflowPunct/>
        <w:topLinePunct w:val="0"/>
        <w:autoSpaceDE/>
        <w:autoSpaceDN/>
        <w:bidi w:val="0"/>
        <w:adjustRightInd/>
        <w:snapToGrid/>
        <w:spacing w:line="760" w:lineRule="exact"/>
        <w:ind w:firstLine="618" w:firstLineChars="200"/>
        <w:textAlignment w:val="auto"/>
        <w:rPr>
          <w:rFonts w:hint="eastAsia" w:ascii="仿宋" w:hAnsi="仿宋" w:eastAsia="仿宋" w:cs="仿宋"/>
          <w:sz w:val="30"/>
          <w:szCs w:val="30"/>
          <w:lang w:eastAsia="zh-CN"/>
        </w:rPr>
      </w:pPr>
      <w:r>
        <w:rPr>
          <w:rFonts w:hint="eastAsia" w:ascii="楷体_GB2312" w:hAnsi="楷体_GB2312" w:eastAsia="楷体_GB2312" w:cs="楷体_GB2312"/>
          <w:b w:val="0"/>
          <w:bCs w:val="0"/>
          <w:color w:val="auto"/>
          <w:kern w:val="2"/>
          <w:sz w:val="32"/>
          <w:szCs w:val="32"/>
          <w:highlight w:val="none"/>
          <w:lang w:val="en-US" w:eastAsia="zh-CN" w:bidi="ar-SA"/>
        </w:rPr>
        <w:t>（二）单位机构设置</w:t>
      </w:r>
      <w:bookmarkEnd w:id="28"/>
      <w:r>
        <w:rPr>
          <w:rFonts w:hint="eastAsia" w:ascii="楷体_GB2312" w:hAnsi="楷体_GB2312" w:eastAsia="楷体_GB2312" w:cs="楷体_GB2312"/>
          <w:b w:val="0"/>
          <w:bCs w:val="0"/>
          <w:color w:val="auto"/>
          <w:kern w:val="2"/>
          <w:sz w:val="32"/>
          <w:szCs w:val="32"/>
          <w:highlight w:val="none"/>
          <w:lang w:val="en-US" w:eastAsia="zh-CN" w:bidi="ar-SA"/>
        </w:rPr>
        <w:t>：</w:t>
      </w:r>
      <w:r>
        <w:rPr>
          <w:rFonts w:hint="eastAsia" w:ascii="仿宋" w:hAnsi="仿宋" w:eastAsia="仿宋" w:cs="仿宋"/>
          <w:b w:val="0"/>
          <w:bCs/>
          <w:color w:val="auto"/>
          <w:spacing w:val="0"/>
          <w:position w:val="0"/>
          <w:sz w:val="30"/>
          <w:szCs w:val="30"/>
          <w:shd w:val="clear" w:fill="auto"/>
        </w:rPr>
        <w:t>贵阳科技馆是贵阳市科学技术协会直属的</w:t>
      </w:r>
      <w:r>
        <w:rPr>
          <w:rFonts w:hint="eastAsia" w:ascii="仿宋" w:hAnsi="仿宋" w:eastAsia="仿宋" w:cs="仿宋"/>
          <w:b w:val="0"/>
          <w:bCs/>
          <w:color w:val="auto"/>
          <w:spacing w:val="0"/>
          <w:position w:val="0"/>
          <w:sz w:val="30"/>
          <w:szCs w:val="30"/>
          <w:shd w:val="clear" w:fill="auto"/>
          <w:lang w:eastAsia="zh-CN"/>
        </w:rPr>
        <w:t>独立财政</w:t>
      </w:r>
      <w:r>
        <w:rPr>
          <w:rFonts w:hint="eastAsia" w:ascii="仿宋" w:hAnsi="仿宋" w:eastAsia="仿宋" w:cs="仿宋"/>
          <w:b w:val="0"/>
          <w:bCs/>
          <w:color w:val="auto"/>
          <w:spacing w:val="0"/>
          <w:position w:val="0"/>
          <w:sz w:val="30"/>
          <w:szCs w:val="30"/>
          <w:shd w:val="clear" w:fill="auto"/>
        </w:rPr>
        <w:t>全额</w:t>
      </w:r>
      <w:r>
        <w:rPr>
          <w:rFonts w:hint="eastAsia" w:ascii="仿宋" w:hAnsi="仿宋" w:eastAsia="仿宋" w:cs="仿宋"/>
          <w:b w:val="0"/>
          <w:bCs/>
          <w:color w:val="auto"/>
          <w:spacing w:val="0"/>
          <w:position w:val="0"/>
          <w:sz w:val="30"/>
          <w:szCs w:val="30"/>
          <w:shd w:val="clear" w:fill="auto"/>
          <w:lang w:eastAsia="zh-CN"/>
        </w:rPr>
        <w:t>拨款</w:t>
      </w:r>
      <w:r>
        <w:rPr>
          <w:rFonts w:hint="eastAsia" w:ascii="仿宋" w:hAnsi="仿宋" w:eastAsia="仿宋" w:cs="仿宋"/>
          <w:b w:val="0"/>
          <w:bCs/>
          <w:color w:val="auto"/>
          <w:spacing w:val="0"/>
          <w:position w:val="0"/>
          <w:sz w:val="30"/>
          <w:szCs w:val="30"/>
          <w:shd w:val="clear" w:fill="auto"/>
        </w:rPr>
        <w:t>事业单位</w:t>
      </w:r>
      <w:r>
        <w:rPr>
          <w:rFonts w:hint="eastAsia" w:ascii="仿宋" w:hAnsi="仿宋" w:eastAsia="仿宋" w:cs="仿宋"/>
          <w:color w:val="auto"/>
          <w:spacing w:val="0"/>
          <w:position w:val="0"/>
          <w:sz w:val="30"/>
          <w:szCs w:val="30"/>
          <w:shd w:val="clear" w:fill="auto"/>
        </w:rPr>
        <w:t>。</w:t>
      </w:r>
    </w:p>
    <w:p>
      <w:pPr>
        <w:keepNext w:val="0"/>
        <w:keepLines w:val="0"/>
        <w:widowControl w:val="0"/>
        <w:numPr>
          <w:ilvl w:val="0"/>
          <w:numId w:val="0"/>
        </w:numPr>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bookmarkStart w:id="29" w:name="_Toc971_WPSOffice_Level2"/>
      <w:r>
        <w:rPr>
          <w:rFonts w:hint="eastAsia" w:ascii="楷体_GB2312" w:hAnsi="楷体_GB2312" w:eastAsia="楷体_GB2312" w:cs="楷体_GB2312"/>
          <w:bCs/>
          <w:color w:val="auto"/>
          <w:sz w:val="32"/>
          <w:szCs w:val="32"/>
          <w:highlight w:val="none"/>
          <w:lang w:eastAsia="zh-CN"/>
        </w:rPr>
        <w:t>（三）</w:t>
      </w:r>
      <w:r>
        <w:rPr>
          <w:rFonts w:hint="eastAsia" w:ascii="楷体_GB2312" w:hAnsi="楷体_GB2312" w:eastAsia="楷体_GB2312" w:cs="楷体_GB2312"/>
          <w:bCs/>
          <w:color w:val="auto"/>
          <w:sz w:val="32"/>
          <w:szCs w:val="32"/>
          <w:highlight w:val="none"/>
        </w:rPr>
        <w:t>预算单位构成</w:t>
      </w:r>
      <w:bookmarkEnd w:id="29"/>
    </w:p>
    <w:p>
      <w:pPr>
        <w:keepNext w:val="0"/>
        <w:keepLines w:val="0"/>
        <w:pageBreakBefore w:val="0"/>
        <w:widowControl w:val="0"/>
        <w:kinsoku/>
        <w:wordWrap/>
        <w:overflowPunct/>
        <w:topLinePunct w:val="0"/>
        <w:autoSpaceDE/>
        <w:autoSpaceDN/>
        <w:bidi w:val="0"/>
        <w:adjustRightInd/>
        <w:snapToGrid/>
        <w:spacing w:line="760" w:lineRule="exact"/>
        <w:ind w:firstLine="618" w:firstLineChars="200"/>
        <w:jc w:val="both"/>
        <w:textAlignment w:val="auto"/>
        <w:rPr>
          <w:rFonts w:hint="eastAsia" w:ascii="仿宋_GB2312" w:hAnsi="仿宋_GB2312" w:eastAsia="仿宋_GB2312" w:cs="仿宋_GB2312"/>
          <w:bCs/>
          <w:color w:val="auto"/>
          <w:sz w:val="32"/>
          <w:szCs w:val="32"/>
          <w:highlight w:val="none"/>
        </w:rPr>
      </w:pPr>
      <w:bookmarkStart w:id="30" w:name="_Toc23641_WPSOffice_Level2"/>
      <w:r>
        <w:rPr>
          <w:rFonts w:hint="eastAsia" w:ascii="仿宋_GB2312" w:hAnsi="仿宋_GB2312" w:eastAsia="仿宋_GB2312" w:cs="仿宋_GB2312"/>
          <w:bCs/>
          <w:color w:val="auto"/>
          <w:sz w:val="32"/>
          <w:szCs w:val="32"/>
          <w:highlight w:val="none"/>
        </w:rPr>
        <w:t>本预算为本单位预算。</w:t>
      </w:r>
    </w:p>
    <w:p>
      <w:pPr>
        <w:keepNext w:val="0"/>
        <w:keepLines w:val="0"/>
        <w:kinsoku/>
        <w:wordWrap/>
        <w:overflowPunct/>
        <w:topLinePunct w:val="0"/>
        <w:autoSpaceDE/>
        <w:autoSpaceDN/>
        <w:bidi w:val="0"/>
        <w:adjustRightInd/>
        <w:snapToGrid/>
        <w:spacing w:before="0" w:after="0" w:line="760" w:lineRule="exact"/>
        <w:ind w:left="0" w:right="0" w:firstLine="631"/>
        <w:jc w:val="both"/>
        <w:textAlignment w:val="auto"/>
        <w:rPr>
          <w:rFonts w:hint="eastAsia" w:ascii="仿宋" w:hAnsi="仿宋" w:eastAsia="仿宋" w:cs="仿宋"/>
          <w:color w:val="auto"/>
          <w:spacing w:val="0"/>
          <w:position w:val="0"/>
          <w:sz w:val="30"/>
          <w:szCs w:val="30"/>
          <w:shd w:val="clear" w:fill="auto"/>
        </w:rPr>
      </w:pPr>
      <w:r>
        <w:rPr>
          <w:rFonts w:hint="eastAsia" w:ascii="楷体_GB2312" w:hAnsi="楷体_GB2312" w:eastAsia="楷体_GB2312" w:cs="楷体_GB2312"/>
          <w:bCs/>
          <w:color w:val="auto"/>
          <w:sz w:val="32"/>
          <w:szCs w:val="32"/>
          <w:highlight w:val="none"/>
          <w:lang w:eastAsia="zh-CN"/>
        </w:rPr>
        <w:t>（四）单位</w:t>
      </w:r>
      <w:r>
        <w:rPr>
          <w:rFonts w:hint="eastAsia" w:ascii="楷体_GB2312" w:hAnsi="楷体_GB2312" w:eastAsia="楷体_GB2312" w:cs="楷体_GB2312"/>
          <w:bCs/>
          <w:color w:val="auto"/>
          <w:sz w:val="32"/>
          <w:szCs w:val="32"/>
          <w:highlight w:val="none"/>
        </w:rPr>
        <w:t>人员构成</w:t>
      </w:r>
      <w:r>
        <w:rPr>
          <w:rFonts w:hint="eastAsia" w:ascii="楷体_GB2312" w:hAnsi="楷体_GB2312" w:eastAsia="楷体_GB2312" w:cs="楷体_GB2312"/>
          <w:bCs/>
          <w:color w:val="auto"/>
          <w:sz w:val="32"/>
          <w:szCs w:val="32"/>
          <w:highlight w:val="none"/>
          <w:lang w:eastAsia="zh-CN"/>
        </w:rPr>
        <w:t>：</w:t>
      </w:r>
      <w:bookmarkEnd w:id="30"/>
      <w:bookmarkStart w:id="31" w:name="_Toc5593_WPSOffice_Level1"/>
      <w:r>
        <w:rPr>
          <w:rFonts w:hint="eastAsia" w:ascii="仿宋" w:hAnsi="仿宋" w:eastAsia="仿宋" w:cs="仿宋"/>
          <w:color w:val="auto"/>
          <w:spacing w:val="0"/>
          <w:position w:val="0"/>
          <w:sz w:val="30"/>
          <w:szCs w:val="30"/>
          <w:shd w:val="clear" w:fill="auto"/>
        </w:rPr>
        <w:t>全额拨款事业编制数8个，截至202</w:t>
      </w:r>
      <w:r>
        <w:rPr>
          <w:rFonts w:hint="eastAsia" w:ascii="仿宋" w:hAnsi="仿宋" w:eastAsia="仿宋" w:cs="仿宋"/>
          <w:color w:val="auto"/>
          <w:spacing w:val="0"/>
          <w:position w:val="0"/>
          <w:sz w:val="30"/>
          <w:szCs w:val="30"/>
          <w:shd w:val="clear" w:fill="auto"/>
          <w:lang w:val="en-US" w:eastAsia="zh-CN"/>
        </w:rPr>
        <w:t>4</w:t>
      </w:r>
      <w:r>
        <w:rPr>
          <w:rFonts w:hint="eastAsia" w:ascii="仿宋" w:hAnsi="仿宋" w:eastAsia="仿宋" w:cs="仿宋"/>
          <w:color w:val="auto"/>
          <w:spacing w:val="0"/>
          <w:position w:val="0"/>
          <w:sz w:val="30"/>
          <w:szCs w:val="30"/>
          <w:shd w:val="clear" w:fill="auto"/>
        </w:rPr>
        <w:t>年12月31日，实有在职人员</w:t>
      </w:r>
      <w:r>
        <w:rPr>
          <w:rFonts w:hint="eastAsia" w:ascii="仿宋" w:hAnsi="仿宋" w:eastAsia="仿宋" w:cs="仿宋"/>
          <w:color w:val="auto"/>
          <w:spacing w:val="0"/>
          <w:position w:val="0"/>
          <w:sz w:val="30"/>
          <w:szCs w:val="30"/>
          <w:shd w:val="clear" w:fill="auto"/>
          <w:lang w:val="en-US" w:eastAsia="zh-CN"/>
        </w:rPr>
        <w:t>7</w:t>
      </w:r>
      <w:r>
        <w:rPr>
          <w:rFonts w:hint="eastAsia" w:ascii="仿宋" w:hAnsi="仿宋" w:eastAsia="仿宋" w:cs="仿宋"/>
          <w:color w:val="auto"/>
          <w:spacing w:val="0"/>
          <w:position w:val="0"/>
          <w:sz w:val="30"/>
          <w:szCs w:val="30"/>
          <w:shd w:val="clear" w:fill="auto"/>
        </w:rPr>
        <w:t>人，退休人员</w:t>
      </w:r>
      <w:r>
        <w:rPr>
          <w:rFonts w:hint="eastAsia" w:ascii="仿宋" w:hAnsi="仿宋" w:eastAsia="仿宋" w:cs="仿宋"/>
          <w:color w:val="auto"/>
          <w:spacing w:val="0"/>
          <w:position w:val="0"/>
          <w:sz w:val="30"/>
          <w:szCs w:val="30"/>
          <w:shd w:val="clear" w:fill="auto"/>
          <w:lang w:val="en-US" w:eastAsia="zh-CN"/>
        </w:rPr>
        <w:t>1人</w:t>
      </w:r>
      <w:r>
        <w:rPr>
          <w:rFonts w:hint="eastAsia" w:ascii="仿宋" w:hAnsi="仿宋" w:eastAsia="仿宋" w:cs="仿宋"/>
          <w:color w:val="auto"/>
          <w:spacing w:val="0"/>
          <w:position w:val="0"/>
          <w:sz w:val="30"/>
          <w:szCs w:val="30"/>
          <w:shd w:val="clear" w:fill="auto"/>
        </w:rPr>
        <w:t>。</w:t>
      </w:r>
    </w:p>
    <w:p>
      <w:pPr>
        <w:keepNext w:val="0"/>
        <w:keepLines w:val="0"/>
        <w:pageBreakBefore w:val="0"/>
        <w:widowControl w:val="0"/>
        <w:kinsoku/>
        <w:wordWrap/>
        <w:overflowPunct/>
        <w:topLinePunct w:val="0"/>
        <w:autoSpaceDE/>
        <w:autoSpaceDN/>
        <w:bidi w:val="0"/>
        <w:adjustRightInd/>
        <w:snapToGrid/>
        <w:spacing w:line="760" w:lineRule="exact"/>
        <w:ind w:left="0" w:firstLine="618"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二、</w:t>
      </w:r>
      <w:r>
        <w:rPr>
          <w:rFonts w:hint="eastAsia" w:ascii="黑体" w:hAnsi="黑体" w:eastAsia="黑体" w:cs="黑体"/>
          <w:bCs/>
          <w:color w:val="auto"/>
          <w:sz w:val="32"/>
          <w:szCs w:val="32"/>
          <w:highlight w:val="none"/>
          <w:lang w:eastAsia="zh-CN"/>
        </w:rPr>
        <w:t>单位</w:t>
      </w:r>
      <w:r>
        <w:rPr>
          <w:rFonts w:hint="eastAsia" w:ascii="黑体" w:hAnsi="黑体" w:eastAsia="黑体" w:cs="黑体"/>
          <w:bCs/>
          <w:color w:val="auto"/>
          <w:sz w:val="32"/>
          <w:szCs w:val="32"/>
          <w:highlight w:val="none"/>
        </w:rPr>
        <w:t>主要工作任务和政策依据</w:t>
      </w:r>
      <w:bookmarkEnd w:id="31"/>
    </w:p>
    <w:p>
      <w:pPr>
        <w:keepNext w:val="0"/>
        <w:keepLines w:val="0"/>
        <w:pageBreakBefore w:val="0"/>
        <w:widowControl w:val="0"/>
        <w:kinsoku/>
        <w:wordWrap/>
        <w:overflowPunct/>
        <w:topLinePunct w:val="0"/>
        <w:autoSpaceDE/>
        <w:autoSpaceDN/>
        <w:bidi w:val="0"/>
        <w:adjustRightInd/>
        <w:snapToGrid/>
        <w:spacing w:line="760" w:lineRule="exact"/>
        <w:ind w:left="0" w:firstLine="618" w:firstLineChars="200"/>
        <w:textAlignment w:val="auto"/>
        <w:rPr>
          <w:rFonts w:hint="eastAsia" w:ascii="仿宋_GB2312" w:eastAsia="仿宋_GB2312" w:cs="仿宋_GB2312"/>
          <w:color w:val="000000"/>
          <w:sz w:val="32"/>
          <w:szCs w:val="32"/>
          <w:lang w:val="en-US" w:eastAsia="zh-CN"/>
        </w:rPr>
      </w:pPr>
      <w:r>
        <w:rPr>
          <w:rFonts w:hint="default" w:ascii="仿宋_GB2312" w:eastAsia="仿宋_GB2312" w:cs="仿宋_GB2312"/>
          <w:color w:val="000000"/>
          <w:sz w:val="32"/>
          <w:szCs w:val="32"/>
          <w:lang w:val="en" w:eastAsia="zh-CN"/>
        </w:rPr>
        <w:t>202</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lang w:val="en" w:eastAsia="zh-CN"/>
        </w:rPr>
        <w:t>年</w:t>
      </w:r>
      <w:r>
        <w:rPr>
          <w:rFonts w:hint="eastAsia" w:ascii="仿宋_GB2312" w:eastAsia="仿宋_GB2312" w:cs="仿宋_GB2312"/>
          <w:color w:val="000000"/>
          <w:sz w:val="32"/>
          <w:szCs w:val="32"/>
          <w:lang w:val="en-US" w:eastAsia="zh-CN"/>
        </w:rPr>
        <w:t>，贵阳科技馆按照宗旨和业务范围，聚焦科普服务和科学教育，主要开展以下三个方面工作：</w:t>
      </w:r>
    </w:p>
    <w:p>
      <w:pPr>
        <w:keepNext w:val="0"/>
        <w:keepLines w:val="0"/>
        <w:pageBreakBefore w:val="0"/>
        <w:widowControl w:val="0"/>
        <w:numPr>
          <w:ilvl w:val="0"/>
          <w:numId w:val="0"/>
        </w:numPr>
        <w:kinsoku/>
        <w:wordWrap/>
        <w:overflowPunct/>
        <w:topLinePunct w:val="0"/>
        <w:autoSpaceDE/>
        <w:autoSpaceDN/>
        <w:bidi w:val="0"/>
        <w:adjustRightInd/>
        <w:snapToGrid/>
        <w:spacing w:line="760" w:lineRule="exact"/>
        <w:ind w:firstLine="618" w:firstLineChars="200"/>
        <w:textAlignment w:val="auto"/>
        <w:rPr>
          <w:rFonts w:hint="eastAsia"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一是加强科技馆体系建设。建立以实体科技馆、流动科技馆、科普大篷车为主，社区科技馆和校园科技馆等为延伸的科普场馆服务体系。2025年，市科协开展科普大篷车“进校园”“进社区”“进农村”等科普志愿服务活动40场以上，服务基层群众不少于3万人次，有效促进科普资源普惠共享。</w:t>
      </w:r>
    </w:p>
    <w:p>
      <w:pPr>
        <w:keepNext w:val="0"/>
        <w:keepLines w:val="0"/>
        <w:pageBreakBefore w:val="0"/>
        <w:widowControl w:val="0"/>
        <w:numPr>
          <w:ilvl w:val="0"/>
          <w:numId w:val="0"/>
        </w:numPr>
        <w:kinsoku/>
        <w:wordWrap/>
        <w:overflowPunct/>
        <w:topLinePunct w:val="0"/>
        <w:autoSpaceDE/>
        <w:autoSpaceDN/>
        <w:bidi w:val="0"/>
        <w:adjustRightInd/>
        <w:snapToGrid/>
        <w:spacing w:line="760" w:lineRule="exact"/>
        <w:ind w:firstLine="618" w:firstLineChars="200"/>
        <w:textAlignment w:val="auto"/>
        <w:rPr>
          <w:rFonts w:hint="eastAsia"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二是加强青少年科学教育。2025年继续开展贵阳市青少年科技创新大赛、贵阳市中小学机器人大赛、全国青年科普创新实验暨作品大赛（贵阳赛点）等“筑科赛”品牌赛事活动。有效丰富科学教育形式。</w:t>
      </w:r>
    </w:p>
    <w:p>
      <w:pPr>
        <w:keepNext w:val="0"/>
        <w:keepLines w:val="0"/>
        <w:pageBreakBefore w:val="0"/>
        <w:widowControl w:val="0"/>
        <w:numPr>
          <w:ilvl w:val="0"/>
          <w:numId w:val="0"/>
        </w:numPr>
        <w:kinsoku/>
        <w:wordWrap/>
        <w:overflowPunct/>
        <w:topLinePunct w:val="0"/>
        <w:autoSpaceDE/>
        <w:autoSpaceDN/>
        <w:bidi w:val="0"/>
        <w:adjustRightInd/>
        <w:snapToGrid/>
        <w:spacing w:line="760" w:lineRule="exact"/>
        <w:ind w:firstLine="618" w:firstLineChars="200"/>
        <w:textAlignment w:val="auto"/>
        <w:rPr>
          <w:rFonts w:hint="eastAsia" w:ascii="黑体" w:hAnsi="黑体" w:eastAsia="黑体" w:cs="黑体"/>
          <w:bCs/>
          <w:color w:val="auto"/>
          <w:sz w:val="32"/>
          <w:szCs w:val="32"/>
          <w:highlight w:val="none"/>
        </w:rPr>
      </w:pPr>
      <w:r>
        <w:rPr>
          <w:rFonts w:hint="eastAsia" w:ascii="仿宋_GB2312" w:eastAsia="仿宋_GB2312" w:cs="仿宋_GB2312"/>
          <w:color w:val="000000"/>
          <w:sz w:val="32"/>
          <w:szCs w:val="32"/>
          <w:lang w:val="en-US" w:eastAsia="zh-CN"/>
        </w:rPr>
        <w:t>三是做好贵阳科技馆城市生活专题馆竣工结算审核，并根据审核结果拨付合同尾款。</w:t>
      </w:r>
      <w:bookmarkStart w:id="32" w:name="_Toc21484_WPSOffice_Level1"/>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黑体" w:hAnsi="黑体" w:eastAsia="黑体" w:cs="黑体"/>
          <w:bCs/>
          <w:color w:val="auto"/>
          <w:sz w:val="32"/>
          <w:szCs w:val="32"/>
          <w:highlight w:val="none"/>
        </w:rPr>
      </w:pPr>
      <w:r>
        <w:rPr>
          <w:rFonts w:hint="eastAsia" w:ascii="黑体" w:hAnsi="黑体" w:eastAsia="黑体" w:cs="黑体"/>
          <w:bCs/>
          <w:color w:val="auto"/>
          <w:sz w:val="32"/>
          <w:szCs w:val="32"/>
          <w:highlight w:val="none"/>
        </w:rPr>
        <w:t>三、部门预算安排情况说明</w:t>
      </w:r>
      <w:bookmarkEnd w:id="32"/>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rPr>
        <w:t>本单位</w:t>
      </w:r>
      <w:r>
        <w:rPr>
          <w:rFonts w:hint="eastAsia" w:ascii="仿宋_GB2312" w:hAnsi="仿宋_GB2312" w:eastAsia="仿宋_GB2312" w:cs="仿宋_GB2312"/>
          <w:color w:val="auto"/>
          <w:sz w:val="32"/>
          <w:szCs w:val="32"/>
          <w:highlight w:val="none"/>
          <w:u w:val="none"/>
          <w:lang w:eastAsia="zh-CN"/>
        </w:rPr>
        <w:t>为二级</w:t>
      </w:r>
      <w:r>
        <w:rPr>
          <w:rFonts w:hint="eastAsia" w:ascii="仿宋_GB2312" w:hAnsi="仿宋_GB2312" w:eastAsia="仿宋_GB2312" w:cs="仿宋_GB2312"/>
          <w:color w:val="auto"/>
          <w:sz w:val="32"/>
          <w:szCs w:val="32"/>
          <w:highlight w:val="none"/>
          <w:u w:val="none"/>
        </w:rPr>
        <w:t>单位，本预算仅为本单位预算。</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bookmarkStart w:id="33" w:name="_Toc26334_WPSOffice_Level2"/>
      <w:r>
        <w:rPr>
          <w:rFonts w:hint="eastAsia" w:ascii="楷体_GB2312" w:hAnsi="楷体_GB2312" w:eastAsia="楷体_GB2312" w:cs="楷体_GB2312"/>
          <w:bCs/>
          <w:color w:val="auto"/>
          <w:sz w:val="32"/>
          <w:szCs w:val="32"/>
          <w:highlight w:val="none"/>
        </w:rPr>
        <w:t>（一）</w:t>
      </w:r>
      <w:r>
        <w:rPr>
          <w:rFonts w:hint="eastAsia" w:ascii="楷体_GB2312" w:hAnsi="楷体_GB2312" w:eastAsia="楷体_GB2312" w:cs="楷体_GB2312"/>
          <w:bCs/>
          <w:color w:val="auto"/>
          <w:sz w:val="32"/>
          <w:szCs w:val="32"/>
          <w:highlight w:val="none"/>
          <w:lang w:eastAsia="zh-CN"/>
        </w:rPr>
        <w:t>部门</w:t>
      </w:r>
      <w:r>
        <w:rPr>
          <w:rFonts w:hint="eastAsia" w:ascii="楷体_GB2312" w:hAnsi="楷体_GB2312" w:eastAsia="楷体_GB2312" w:cs="楷体_GB2312"/>
          <w:bCs/>
          <w:color w:val="auto"/>
          <w:sz w:val="32"/>
          <w:szCs w:val="32"/>
          <w:highlight w:val="none"/>
        </w:rPr>
        <w:t>收支总体情况（详见</w:t>
      </w:r>
      <w:r>
        <w:rPr>
          <w:rFonts w:hint="eastAsia" w:ascii="楷体_GB2312" w:hAnsi="楷体_GB2312" w:eastAsia="楷体_GB2312" w:cs="楷体_GB2312"/>
          <w:bCs/>
          <w:color w:val="auto"/>
          <w:sz w:val="32"/>
          <w:szCs w:val="32"/>
          <w:highlight w:val="none"/>
          <w:lang w:eastAsia="zh-CN"/>
        </w:rPr>
        <w:t>附</w:t>
      </w:r>
      <w:r>
        <w:rPr>
          <w:rFonts w:hint="eastAsia" w:ascii="楷体_GB2312" w:hAnsi="楷体_GB2312" w:eastAsia="楷体_GB2312" w:cs="楷体_GB2312"/>
          <w:bCs/>
          <w:color w:val="auto"/>
          <w:sz w:val="32"/>
          <w:szCs w:val="32"/>
          <w:highlight w:val="none"/>
        </w:rPr>
        <w:t>表1</w:t>
      </w:r>
      <w:r>
        <w:rPr>
          <w:rFonts w:hint="eastAsia" w:ascii="楷体_GB2312" w:hAnsi="楷体_GB2312" w:eastAsia="楷体_GB2312" w:cs="楷体_GB2312"/>
          <w:bCs/>
          <w:color w:val="auto"/>
          <w:sz w:val="32"/>
          <w:szCs w:val="32"/>
          <w:highlight w:val="none"/>
          <w:lang w:val="en-US" w:eastAsia="zh-CN"/>
        </w:rPr>
        <w:t>-3</w:t>
      </w:r>
      <w:r>
        <w:rPr>
          <w:rFonts w:hint="eastAsia" w:ascii="楷体_GB2312" w:hAnsi="楷体_GB2312" w:eastAsia="楷体_GB2312" w:cs="楷体_GB2312"/>
          <w:bCs/>
          <w:color w:val="auto"/>
          <w:sz w:val="32"/>
          <w:szCs w:val="32"/>
          <w:highlight w:val="none"/>
        </w:rPr>
        <w:t>）</w:t>
      </w:r>
      <w:bookmarkEnd w:id="33"/>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部门</w:t>
      </w:r>
      <w:r>
        <w:rPr>
          <w:rFonts w:hint="eastAsia" w:ascii="仿宋_GB2312" w:hAnsi="仿宋_GB2312" w:eastAsia="仿宋_GB2312" w:cs="仿宋_GB2312"/>
          <w:bCs/>
          <w:color w:val="auto"/>
          <w:sz w:val="32"/>
          <w:szCs w:val="32"/>
          <w:highlight w:val="none"/>
        </w:rPr>
        <w:t>收入预算总额</w:t>
      </w:r>
      <w:r>
        <w:rPr>
          <w:rFonts w:hint="eastAsia" w:ascii="仿宋_GB2312" w:hAnsi="仿宋_GB2312" w:eastAsia="仿宋_GB2312" w:cs="仿宋_GB2312"/>
          <w:bCs/>
          <w:color w:val="auto"/>
          <w:sz w:val="32"/>
          <w:szCs w:val="32"/>
          <w:highlight w:val="none"/>
          <w:lang w:val="en-US" w:eastAsia="zh-CN"/>
        </w:rPr>
        <w:t>153.27</w:t>
      </w:r>
      <w:r>
        <w:rPr>
          <w:rFonts w:hint="eastAsia" w:ascii="仿宋_GB2312" w:hAnsi="仿宋_GB2312" w:eastAsia="仿宋_GB2312" w:cs="仿宋_GB2312"/>
          <w:bCs/>
          <w:color w:val="auto"/>
          <w:sz w:val="32"/>
          <w:szCs w:val="32"/>
          <w:highlight w:val="none"/>
        </w:rPr>
        <w:t>万元，其中：本年收入</w:t>
      </w:r>
      <w:r>
        <w:rPr>
          <w:rFonts w:hint="eastAsia" w:ascii="仿宋_GB2312" w:hAnsi="仿宋_GB2312" w:eastAsia="仿宋_GB2312" w:cs="仿宋_GB2312"/>
          <w:bCs/>
          <w:color w:val="auto"/>
          <w:sz w:val="32"/>
          <w:szCs w:val="32"/>
          <w:highlight w:val="none"/>
          <w:lang w:val="en-US" w:eastAsia="zh-CN"/>
        </w:rPr>
        <w:t>147.43</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，上年结转结余</w:t>
      </w:r>
      <w:r>
        <w:rPr>
          <w:rFonts w:hint="eastAsia" w:ascii="仿宋_GB2312" w:hAnsi="仿宋_GB2312" w:eastAsia="仿宋_GB2312" w:cs="仿宋_GB2312"/>
          <w:bCs/>
          <w:color w:val="auto"/>
          <w:sz w:val="32"/>
          <w:szCs w:val="32"/>
          <w:highlight w:val="none"/>
          <w:lang w:val="en-US" w:eastAsia="zh-CN"/>
        </w:rPr>
        <w:t>5.85万元</w:t>
      </w:r>
      <w:r>
        <w:rPr>
          <w:rFonts w:hint="eastAsia" w:ascii="仿宋_GB2312" w:hAnsi="仿宋_GB2312" w:eastAsia="仿宋_GB2312" w:cs="仿宋_GB2312"/>
          <w:bCs/>
          <w:color w:val="auto"/>
          <w:sz w:val="32"/>
          <w:szCs w:val="32"/>
          <w:highlight w:val="none"/>
        </w:rPr>
        <w:t>。本年收入中：财政拨款收入</w:t>
      </w:r>
      <w:r>
        <w:rPr>
          <w:rFonts w:hint="eastAsia" w:ascii="仿宋_GB2312" w:hAnsi="仿宋_GB2312" w:eastAsia="仿宋_GB2312" w:cs="仿宋_GB2312"/>
          <w:bCs/>
          <w:color w:val="auto"/>
          <w:sz w:val="32"/>
          <w:szCs w:val="32"/>
          <w:highlight w:val="none"/>
          <w:lang w:val="en-US" w:eastAsia="zh-CN"/>
        </w:rPr>
        <w:t>147.43</w:t>
      </w:r>
      <w:r>
        <w:rPr>
          <w:rFonts w:hint="eastAsia" w:ascii="仿宋_GB2312" w:hAnsi="仿宋_GB2312" w:eastAsia="仿宋_GB2312" w:cs="仿宋_GB2312"/>
          <w:bCs/>
          <w:color w:val="auto"/>
          <w:sz w:val="32"/>
          <w:szCs w:val="32"/>
          <w:highlight w:val="none"/>
        </w:rPr>
        <w:t>万元</w:t>
      </w:r>
      <w:bookmarkStart w:id="51" w:name="_GoBack"/>
      <w:bookmarkEnd w:id="51"/>
      <w:r>
        <w:rPr>
          <w:rFonts w:hint="eastAsia" w:ascii="仿宋_GB2312" w:hAnsi="仿宋_GB2312" w:eastAsia="仿宋_GB2312" w:cs="仿宋_GB2312"/>
          <w:bCs/>
          <w:color w:val="auto"/>
          <w:sz w:val="32"/>
          <w:szCs w:val="32"/>
          <w:highlight w:val="none"/>
          <w:lang w:eastAsia="zh-CN"/>
        </w:rPr>
        <w:t>。</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年部门支出预算总额</w:t>
      </w:r>
      <w:r>
        <w:rPr>
          <w:rFonts w:hint="eastAsia" w:ascii="仿宋_GB2312" w:hAnsi="仿宋_GB2312" w:eastAsia="仿宋_GB2312" w:cs="仿宋_GB2312"/>
          <w:bCs/>
          <w:color w:val="auto"/>
          <w:sz w:val="32"/>
          <w:szCs w:val="32"/>
          <w:highlight w:val="none"/>
          <w:lang w:val="en-US" w:eastAsia="zh-CN"/>
        </w:rPr>
        <w:t>153.27</w:t>
      </w:r>
      <w:r>
        <w:rPr>
          <w:rFonts w:hint="eastAsia" w:ascii="仿宋_GB2312" w:hAnsi="仿宋_GB2312" w:eastAsia="仿宋_GB2312" w:cs="仿宋_GB2312"/>
          <w:bCs/>
          <w:color w:val="auto"/>
          <w:sz w:val="32"/>
          <w:szCs w:val="32"/>
          <w:highlight w:val="none"/>
        </w:rPr>
        <w:t>万元，其中：本年</w:t>
      </w:r>
      <w:r>
        <w:rPr>
          <w:rFonts w:hint="eastAsia" w:ascii="仿宋_GB2312" w:hAnsi="仿宋_GB2312" w:eastAsia="仿宋_GB2312" w:cs="仿宋_GB2312"/>
          <w:bCs/>
          <w:color w:val="auto"/>
          <w:sz w:val="32"/>
          <w:szCs w:val="32"/>
          <w:highlight w:val="none"/>
          <w:lang w:eastAsia="zh-CN"/>
        </w:rPr>
        <w:t>一般公共预算支出</w:t>
      </w:r>
      <w:r>
        <w:rPr>
          <w:rFonts w:hint="eastAsia" w:ascii="仿宋_GB2312" w:hAnsi="仿宋_GB2312" w:eastAsia="仿宋_GB2312" w:cs="仿宋_GB2312"/>
          <w:bCs/>
          <w:color w:val="auto"/>
          <w:sz w:val="32"/>
          <w:szCs w:val="32"/>
          <w:highlight w:val="none"/>
          <w:lang w:val="en-US" w:eastAsia="zh-CN"/>
        </w:rPr>
        <w:t>153.27</w:t>
      </w:r>
      <w:r>
        <w:rPr>
          <w:rFonts w:hint="eastAsia" w:ascii="仿宋_GB2312" w:hAnsi="仿宋_GB2312" w:eastAsia="仿宋_GB2312" w:cs="仿宋_GB2312"/>
          <w:bCs/>
          <w:color w:val="auto"/>
          <w:sz w:val="32"/>
          <w:szCs w:val="32"/>
          <w:highlight w:val="none"/>
        </w:rPr>
        <w:t>万元。本年支出中：</w:t>
      </w:r>
      <w:r>
        <w:rPr>
          <w:rFonts w:hint="eastAsia" w:ascii="仿宋_GB2312" w:hAnsi="仿宋_GB2312" w:eastAsia="仿宋_GB2312" w:cs="仿宋_GB2312"/>
          <w:bCs/>
          <w:color w:val="auto"/>
          <w:sz w:val="32"/>
          <w:szCs w:val="32"/>
          <w:highlight w:val="none"/>
          <w:lang w:eastAsia="zh-CN"/>
        </w:rPr>
        <w:t>科学技术</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102.98</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社会保障和就业</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23.53</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卫生健康</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10.96</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住房保障</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9.95</w:t>
      </w:r>
      <w:r>
        <w:rPr>
          <w:rFonts w:hint="eastAsia" w:ascii="仿宋_GB2312" w:hAnsi="仿宋_GB2312" w:eastAsia="仿宋_GB2312" w:cs="仿宋_GB2312"/>
          <w:bCs/>
          <w:color w:val="auto"/>
          <w:sz w:val="32"/>
          <w:szCs w:val="32"/>
          <w:highlight w:val="none"/>
        </w:rPr>
        <w:t>万元。</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年部门收入预算总额比</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年预算减少</w:t>
      </w:r>
      <w:r>
        <w:rPr>
          <w:rFonts w:hint="eastAsia" w:ascii="仿宋_GB2312" w:hAnsi="仿宋_GB2312" w:eastAsia="仿宋_GB2312" w:cs="仿宋_GB2312"/>
          <w:bCs/>
          <w:color w:val="auto"/>
          <w:sz w:val="32"/>
          <w:szCs w:val="32"/>
          <w:highlight w:val="none"/>
          <w:lang w:val="en-US" w:eastAsia="zh-CN"/>
        </w:rPr>
        <w:t>27.2</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15.07</w:t>
      </w:r>
      <w:r>
        <w:rPr>
          <w:rFonts w:hint="eastAsia" w:ascii="仿宋_GB2312" w:hAnsi="仿宋_GB2312" w:eastAsia="仿宋_GB2312" w:cs="仿宋_GB2312"/>
          <w:bCs/>
          <w:color w:val="auto"/>
          <w:sz w:val="32"/>
          <w:szCs w:val="32"/>
          <w:highlight w:val="none"/>
        </w:rPr>
        <w:t>%，主要原因是：</w:t>
      </w:r>
      <w:r>
        <w:rPr>
          <w:rFonts w:hint="eastAsia" w:ascii="仿宋_GB2312" w:hAnsi="仿宋_GB2312" w:eastAsia="仿宋_GB2312" w:cs="仿宋_GB2312"/>
          <w:bCs/>
          <w:color w:val="auto"/>
          <w:sz w:val="32"/>
          <w:szCs w:val="32"/>
          <w:highlight w:val="none"/>
          <w:lang w:eastAsia="zh-CN"/>
        </w:rPr>
        <w:t>项目经费减少等</w:t>
      </w:r>
      <w:r>
        <w:rPr>
          <w:rFonts w:hint="eastAsia" w:ascii="仿宋_GB2312" w:hAnsi="仿宋_GB2312" w:eastAsia="仿宋_GB2312" w:cs="仿宋_GB2312"/>
          <w:bCs/>
          <w:color w:val="auto"/>
          <w:sz w:val="32"/>
          <w:szCs w:val="32"/>
          <w:highlight w:val="none"/>
        </w:rPr>
        <w:t>。</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年部门支出预算总额比</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年预算减少</w:t>
      </w:r>
      <w:r>
        <w:rPr>
          <w:rFonts w:hint="eastAsia" w:ascii="仿宋_GB2312" w:hAnsi="仿宋_GB2312" w:eastAsia="仿宋_GB2312" w:cs="仿宋_GB2312"/>
          <w:bCs/>
          <w:color w:val="auto"/>
          <w:sz w:val="32"/>
          <w:szCs w:val="32"/>
          <w:highlight w:val="none"/>
          <w:lang w:val="en-US" w:eastAsia="zh-CN"/>
        </w:rPr>
        <w:t>27.2</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15.07</w:t>
      </w:r>
      <w:r>
        <w:rPr>
          <w:rFonts w:hint="eastAsia" w:ascii="仿宋_GB2312" w:hAnsi="仿宋_GB2312" w:eastAsia="仿宋_GB2312" w:cs="仿宋_GB2312"/>
          <w:bCs/>
          <w:color w:val="auto"/>
          <w:sz w:val="32"/>
          <w:szCs w:val="32"/>
          <w:highlight w:val="none"/>
        </w:rPr>
        <w:t>%，主要原因是：</w:t>
      </w:r>
      <w:r>
        <w:rPr>
          <w:rFonts w:hint="eastAsia" w:ascii="仿宋_GB2312" w:hAnsi="仿宋_GB2312" w:eastAsia="仿宋_GB2312" w:cs="仿宋_GB2312"/>
          <w:bCs/>
          <w:color w:val="auto"/>
          <w:sz w:val="32"/>
          <w:szCs w:val="32"/>
          <w:highlight w:val="none"/>
          <w:lang w:eastAsia="zh-CN"/>
        </w:rPr>
        <w:t>项目经费减少等</w:t>
      </w:r>
      <w:r>
        <w:rPr>
          <w:rFonts w:hint="eastAsia" w:ascii="仿宋_GB2312" w:hAnsi="仿宋_GB2312" w:eastAsia="仿宋_GB2312" w:cs="仿宋_GB2312"/>
          <w:bCs/>
          <w:color w:val="auto"/>
          <w:sz w:val="32"/>
          <w:szCs w:val="32"/>
          <w:highlight w:val="none"/>
        </w:rPr>
        <w:t xml:space="preserve">。 </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bookmarkStart w:id="34" w:name="_Toc25780_WPSOffice_Level2"/>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二</w:t>
      </w:r>
      <w:r>
        <w:rPr>
          <w:rFonts w:hint="eastAsia" w:ascii="楷体_GB2312" w:hAnsi="楷体_GB2312" w:eastAsia="楷体_GB2312" w:cs="楷体_GB2312"/>
          <w:bCs/>
          <w:color w:val="auto"/>
          <w:sz w:val="32"/>
          <w:szCs w:val="32"/>
          <w:highlight w:val="none"/>
        </w:rPr>
        <w:t>）财政拨款收支总体情况（详见表4）</w:t>
      </w:r>
      <w:bookmarkEnd w:id="34"/>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2025</w:t>
      </w:r>
      <w:r>
        <w:rPr>
          <w:rFonts w:hint="eastAsia" w:ascii="仿宋_GB2312" w:hAnsi="仿宋_GB2312" w:eastAsia="仿宋_GB2312" w:cs="仿宋_GB2312"/>
          <w:bCs/>
          <w:sz w:val="32"/>
          <w:szCs w:val="32"/>
        </w:rPr>
        <w:t>年</w:t>
      </w:r>
      <w:r>
        <w:rPr>
          <w:rFonts w:hint="eastAsia" w:ascii="仿宋_GB2312" w:hAnsi="仿宋_GB2312" w:eastAsia="仿宋_GB2312" w:cs="仿宋_GB2312"/>
          <w:sz w:val="32"/>
          <w:szCs w:val="32"/>
        </w:rPr>
        <w:t>部门财政拨款收入预算</w:t>
      </w:r>
      <w:r>
        <w:rPr>
          <w:rFonts w:hint="eastAsia" w:ascii="仿宋_GB2312" w:hAnsi="仿宋_GB2312" w:eastAsia="仿宋_GB2312" w:cs="仿宋_GB2312"/>
          <w:bCs/>
          <w:sz w:val="32"/>
          <w:szCs w:val="32"/>
        </w:rPr>
        <w:t>总额</w:t>
      </w:r>
      <w:r>
        <w:rPr>
          <w:rFonts w:hint="eastAsia" w:ascii="仿宋_GB2312" w:hAnsi="仿宋_GB2312" w:eastAsia="仿宋_GB2312" w:cs="仿宋_GB2312"/>
          <w:bCs/>
          <w:sz w:val="32"/>
          <w:szCs w:val="32"/>
          <w:lang w:val="en-US" w:eastAsia="zh-CN"/>
        </w:rPr>
        <w:t>147.43</w:t>
      </w:r>
      <w:r>
        <w:rPr>
          <w:rFonts w:hint="eastAsia" w:ascii="仿宋_GB2312" w:hAnsi="仿宋_GB2312" w:eastAsia="仿宋_GB2312" w:cs="仿宋_GB2312"/>
          <w:bCs/>
          <w:sz w:val="32"/>
          <w:szCs w:val="32"/>
        </w:rPr>
        <w:t>万元，其中：本年收入</w:t>
      </w:r>
      <w:r>
        <w:rPr>
          <w:rFonts w:hint="eastAsia" w:ascii="仿宋_GB2312" w:hAnsi="仿宋_GB2312" w:eastAsia="仿宋_GB2312" w:cs="仿宋_GB2312"/>
          <w:bCs/>
          <w:sz w:val="32"/>
          <w:szCs w:val="32"/>
          <w:lang w:val="en-US" w:eastAsia="zh-CN"/>
        </w:rPr>
        <w:t>147.43</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 xml:space="preserve">  </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年部门财政拨款支出预算总额</w:t>
      </w:r>
      <w:r>
        <w:rPr>
          <w:rFonts w:hint="eastAsia" w:ascii="仿宋_GB2312" w:hAnsi="仿宋_GB2312" w:eastAsia="仿宋_GB2312" w:cs="仿宋_GB2312"/>
          <w:bCs/>
          <w:sz w:val="32"/>
          <w:szCs w:val="32"/>
          <w:lang w:val="en-US" w:eastAsia="zh-CN"/>
        </w:rPr>
        <w:t>147.43</w:t>
      </w:r>
      <w:r>
        <w:rPr>
          <w:rFonts w:hint="eastAsia" w:ascii="仿宋_GB2312" w:hAnsi="仿宋_GB2312" w:eastAsia="仿宋_GB2312" w:cs="仿宋_GB2312"/>
          <w:sz w:val="32"/>
          <w:szCs w:val="32"/>
        </w:rPr>
        <w:t>万元，其中：</w:t>
      </w:r>
      <w:r>
        <w:rPr>
          <w:rFonts w:hint="eastAsia" w:ascii="仿宋_GB2312" w:hAnsi="仿宋_GB2312" w:eastAsia="仿宋_GB2312" w:cs="仿宋_GB2312"/>
          <w:bCs/>
          <w:color w:val="auto"/>
          <w:sz w:val="32"/>
          <w:szCs w:val="32"/>
          <w:highlight w:val="none"/>
          <w:lang w:eastAsia="zh-CN"/>
        </w:rPr>
        <w:t>科学技术</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102.98</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社会保障和就业</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23.53</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卫生健康</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10.96</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住房保障</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9.95</w:t>
      </w:r>
      <w:r>
        <w:rPr>
          <w:rFonts w:hint="eastAsia" w:ascii="仿宋_GB2312" w:hAnsi="仿宋_GB2312" w:eastAsia="仿宋_GB2312" w:cs="仿宋_GB2312"/>
          <w:bCs/>
          <w:color w:val="auto"/>
          <w:sz w:val="32"/>
          <w:szCs w:val="32"/>
          <w:highlight w:val="none"/>
        </w:rPr>
        <w:t>万元。</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年部门财政拨款收支预算总额均为</w:t>
      </w:r>
      <w:r>
        <w:rPr>
          <w:rFonts w:hint="eastAsia" w:ascii="仿宋_GB2312" w:hAnsi="仿宋_GB2312" w:eastAsia="仿宋_GB2312" w:cs="仿宋_GB2312"/>
          <w:bCs/>
          <w:sz w:val="32"/>
          <w:szCs w:val="32"/>
          <w:lang w:val="en-US" w:eastAsia="zh-CN"/>
        </w:rPr>
        <w:t>147.43</w:t>
      </w:r>
      <w:r>
        <w:rPr>
          <w:rFonts w:hint="eastAsia" w:ascii="仿宋_GB2312" w:hAnsi="仿宋_GB2312" w:eastAsia="仿宋_GB2312" w:cs="仿宋_GB2312"/>
          <w:sz w:val="32"/>
          <w:szCs w:val="32"/>
        </w:rPr>
        <w:t>万元，比2024年预算减少</w:t>
      </w:r>
      <w:r>
        <w:rPr>
          <w:rFonts w:hint="eastAsia" w:ascii="仿宋_GB2312" w:hAnsi="仿宋_GB2312" w:eastAsia="仿宋_GB2312" w:cs="仿宋_GB2312"/>
          <w:bCs/>
          <w:color w:val="auto"/>
          <w:sz w:val="32"/>
          <w:szCs w:val="32"/>
          <w:highlight w:val="none"/>
          <w:lang w:val="en-US" w:eastAsia="zh-CN"/>
        </w:rPr>
        <w:t>27.2</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15.07</w:t>
      </w:r>
      <w:r>
        <w:rPr>
          <w:rFonts w:hint="eastAsia" w:ascii="仿宋_GB2312" w:hAnsi="仿宋_GB2312" w:eastAsia="仿宋_GB2312" w:cs="仿宋_GB2312"/>
          <w:bCs/>
          <w:color w:val="auto"/>
          <w:sz w:val="32"/>
          <w:szCs w:val="32"/>
          <w:highlight w:val="none"/>
        </w:rPr>
        <w:t>%，主要原因是：</w:t>
      </w:r>
      <w:r>
        <w:rPr>
          <w:rFonts w:hint="eastAsia" w:ascii="仿宋_GB2312" w:hAnsi="仿宋_GB2312" w:eastAsia="仿宋_GB2312" w:cs="仿宋_GB2312"/>
          <w:bCs/>
          <w:color w:val="auto"/>
          <w:sz w:val="32"/>
          <w:szCs w:val="32"/>
          <w:highlight w:val="none"/>
          <w:lang w:eastAsia="zh-CN"/>
        </w:rPr>
        <w:t>项目经费减少等</w:t>
      </w:r>
      <w:r>
        <w:rPr>
          <w:rFonts w:hint="eastAsia" w:ascii="仿宋_GB2312" w:hAnsi="仿宋_GB2312" w:eastAsia="仿宋_GB2312" w:cs="仿宋_GB2312"/>
          <w:bCs/>
          <w:color w:val="auto"/>
          <w:sz w:val="32"/>
          <w:szCs w:val="32"/>
          <w:highlight w:val="none"/>
        </w:rPr>
        <w:t>。</w:t>
      </w:r>
    </w:p>
    <w:p>
      <w:pPr>
        <w:keepNext w:val="0"/>
        <w:keepLines w:val="0"/>
        <w:widowControl w:val="0"/>
        <w:kinsoku/>
        <w:wordWrap/>
        <w:overflowPunct/>
        <w:topLinePunct w:val="0"/>
        <w:autoSpaceDE/>
        <w:autoSpaceDN/>
        <w:bidi w:val="0"/>
        <w:adjustRightInd/>
        <w:snapToGrid/>
        <w:spacing w:line="760" w:lineRule="exact"/>
        <w:ind w:firstLine="309" w:firstLineChars="100"/>
        <w:textAlignment w:val="auto"/>
        <w:rPr>
          <w:rFonts w:hint="eastAsia" w:ascii="楷体_GB2312" w:hAnsi="楷体_GB2312" w:eastAsia="楷体_GB2312" w:cs="楷体_GB2312"/>
          <w:bCs/>
          <w:color w:val="auto"/>
          <w:sz w:val="32"/>
          <w:szCs w:val="32"/>
          <w:highlight w:val="none"/>
        </w:rPr>
      </w:pPr>
      <w:bookmarkStart w:id="35" w:name="_Toc17711_WPSOffice_Level2"/>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三</w:t>
      </w:r>
      <w:r>
        <w:rPr>
          <w:rFonts w:hint="eastAsia" w:ascii="楷体_GB2312" w:hAnsi="楷体_GB2312" w:eastAsia="楷体_GB2312" w:cs="楷体_GB2312"/>
          <w:bCs/>
          <w:color w:val="auto"/>
          <w:sz w:val="32"/>
          <w:szCs w:val="32"/>
          <w:highlight w:val="none"/>
        </w:rPr>
        <w:t>）一般公共预算支出情况（详见表5）</w:t>
      </w:r>
      <w:bookmarkEnd w:id="35"/>
    </w:p>
    <w:p>
      <w:pPr>
        <w:keepNext w:val="0"/>
        <w:keepLines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strike w:val="0"/>
          <w:dstrike w:val="0"/>
          <w:color w:val="auto"/>
          <w:sz w:val="32"/>
          <w:szCs w:val="32"/>
          <w:highlight w:val="none"/>
          <w:lang w:val="en-US" w:eastAsia="zh-CN"/>
        </w:rPr>
      </w:pPr>
      <w:bookmarkStart w:id="36" w:name="_Toc16188_WPSOffice_Level2"/>
      <w:r>
        <w:rPr>
          <w:rFonts w:hint="eastAsia" w:ascii="仿宋_GB2312" w:hAnsi="仿宋_GB2312" w:eastAsia="仿宋_GB2312" w:cs="仿宋_GB2312"/>
          <w:bCs/>
          <w:strike w:val="0"/>
          <w:dstrike w:val="0"/>
          <w:color w:val="auto"/>
          <w:sz w:val="32"/>
          <w:szCs w:val="32"/>
          <w:highlight w:val="none"/>
          <w:lang w:val="en-US" w:eastAsia="zh-CN"/>
        </w:rPr>
        <w:t>2025年一般公共预算支出总额</w:t>
      </w:r>
      <w:r>
        <w:rPr>
          <w:rFonts w:hint="eastAsia" w:ascii="仿宋_GB2312" w:hAnsi="仿宋_GB2312" w:eastAsia="仿宋_GB2312" w:cs="仿宋_GB2312"/>
          <w:bCs/>
          <w:sz w:val="32"/>
          <w:szCs w:val="32"/>
          <w:lang w:val="en-US" w:eastAsia="zh-CN"/>
        </w:rPr>
        <w:t>147.43</w:t>
      </w:r>
      <w:r>
        <w:rPr>
          <w:rFonts w:hint="eastAsia" w:ascii="仿宋_GB2312" w:hAnsi="仿宋_GB2312" w:eastAsia="仿宋_GB2312" w:cs="仿宋_GB2312"/>
          <w:bCs/>
          <w:strike w:val="0"/>
          <w:dstrike w:val="0"/>
          <w:color w:val="auto"/>
          <w:sz w:val="32"/>
          <w:szCs w:val="32"/>
          <w:highlight w:val="none"/>
          <w:lang w:val="en-US" w:eastAsia="zh-CN"/>
        </w:rPr>
        <w:t>万元，其中：基本支出132.43万元，项目支出15万元。</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lang w:eastAsia="zh-CN"/>
        </w:rPr>
        <w:t>202</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lang w:eastAsia="zh-CN"/>
        </w:rPr>
        <w:t>年一般公共预算支出较上年</w:t>
      </w:r>
      <w:r>
        <w:rPr>
          <w:rFonts w:hint="eastAsia" w:ascii="仿宋_GB2312" w:hAnsi="仿宋_GB2312" w:eastAsia="仿宋_GB2312" w:cs="仿宋_GB2312"/>
          <w:sz w:val="32"/>
          <w:szCs w:val="32"/>
        </w:rPr>
        <w:t>减少</w:t>
      </w:r>
      <w:r>
        <w:rPr>
          <w:rFonts w:hint="eastAsia" w:ascii="仿宋_GB2312" w:hAnsi="仿宋_GB2312" w:eastAsia="仿宋_GB2312" w:cs="仿宋_GB2312"/>
          <w:bCs/>
          <w:color w:val="auto"/>
          <w:sz w:val="32"/>
          <w:szCs w:val="32"/>
          <w:highlight w:val="none"/>
          <w:lang w:val="en-US" w:eastAsia="zh-CN"/>
        </w:rPr>
        <w:t>27.2</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15.07</w:t>
      </w:r>
      <w:r>
        <w:rPr>
          <w:rFonts w:hint="eastAsia" w:ascii="仿宋_GB2312" w:hAnsi="仿宋_GB2312" w:eastAsia="仿宋_GB2312" w:cs="仿宋_GB2312"/>
          <w:bCs/>
          <w:color w:val="auto"/>
          <w:sz w:val="32"/>
          <w:szCs w:val="32"/>
          <w:highlight w:val="none"/>
        </w:rPr>
        <w:t>%，主要原因是：</w:t>
      </w:r>
      <w:r>
        <w:rPr>
          <w:rFonts w:hint="eastAsia" w:ascii="仿宋_GB2312" w:hAnsi="仿宋_GB2312" w:eastAsia="仿宋_GB2312" w:cs="仿宋_GB2312"/>
          <w:bCs/>
          <w:color w:val="auto"/>
          <w:sz w:val="32"/>
          <w:szCs w:val="32"/>
          <w:highlight w:val="none"/>
          <w:lang w:eastAsia="zh-CN"/>
        </w:rPr>
        <w:t>项目经费减少等</w:t>
      </w:r>
      <w:r>
        <w:rPr>
          <w:rFonts w:hint="eastAsia" w:ascii="仿宋_GB2312" w:hAnsi="仿宋_GB2312" w:eastAsia="仿宋_GB2312" w:cs="仿宋_GB2312"/>
          <w:bCs/>
          <w:color w:val="auto"/>
          <w:sz w:val="32"/>
          <w:szCs w:val="32"/>
          <w:highlight w:val="none"/>
        </w:rPr>
        <w:t>。</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rPr>
      </w:pPr>
      <w:r>
        <w:rPr>
          <w:rFonts w:hint="eastAsia" w:ascii="仿宋_GB2312" w:hAnsi="仿宋_GB2312" w:eastAsia="仿宋_GB2312" w:cs="仿宋_GB2312"/>
          <w:bCs/>
          <w:color w:val="auto"/>
          <w:sz w:val="32"/>
          <w:szCs w:val="32"/>
          <w:highlight w:val="none"/>
          <w:lang w:eastAsia="zh-CN"/>
        </w:rPr>
        <w:t>按照功能科目分类，</w:t>
      </w:r>
      <w:r>
        <w:rPr>
          <w:rFonts w:hint="eastAsia" w:ascii="仿宋_GB2312" w:hAnsi="仿宋_GB2312" w:eastAsia="仿宋_GB2312" w:cs="仿宋_GB2312"/>
          <w:bCs/>
          <w:color w:val="auto"/>
          <w:sz w:val="32"/>
          <w:szCs w:val="32"/>
          <w:highlight w:val="none"/>
          <w:lang w:val="en-US" w:eastAsia="zh-CN"/>
        </w:rPr>
        <w:t>2060701机构运行87.98万元、2060705科技馆站15万元、2080502事业单位离退休3.5万元、2080505机关事业单位基本养老保险缴费支出11.82万元、2080506机关事业单位职业年金缴费支出6.97万元、2089999其他</w:t>
      </w:r>
      <w:r>
        <w:rPr>
          <w:rFonts w:hint="eastAsia" w:ascii="仿宋_GB2312" w:hAnsi="仿宋_GB2312" w:eastAsia="仿宋_GB2312" w:cs="仿宋_GB2312"/>
          <w:bCs/>
          <w:color w:val="auto"/>
          <w:sz w:val="32"/>
          <w:szCs w:val="32"/>
          <w:highlight w:val="none"/>
          <w:lang w:eastAsia="zh-CN"/>
        </w:rPr>
        <w:t>社会保障和就业支出</w:t>
      </w:r>
      <w:r>
        <w:rPr>
          <w:rFonts w:hint="eastAsia" w:ascii="仿宋_GB2312" w:hAnsi="仿宋_GB2312" w:eastAsia="仿宋_GB2312" w:cs="仿宋_GB2312"/>
          <w:bCs/>
          <w:color w:val="auto"/>
          <w:sz w:val="32"/>
          <w:szCs w:val="32"/>
          <w:highlight w:val="none"/>
          <w:lang w:val="en-US" w:eastAsia="zh-CN"/>
        </w:rPr>
        <w:t>1.25万元</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2101102</w:t>
      </w:r>
      <w:r>
        <w:rPr>
          <w:rFonts w:hint="eastAsia" w:ascii="仿宋_GB2312" w:hAnsi="仿宋_GB2312" w:eastAsia="仿宋_GB2312" w:cs="仿宋_GB2312"/>
          <w:bCs/>
          <w:color w:val="auto"/>
          <w:sz w:val="32"/>
          <w:szCs w:val="32"/>
          <w:highlight w:val="none"/>
          <w:lang w:eastAsia="zh-CN"/>
        </w:rPr>
        <w:t>事业单位医疗</w:t>
      </w:r>
      <w:r>
        <w:rPr>
          <w:rFonts w:hint="eastAsia" w:ascii="仿宋_GB2312" w:hAnsi="仿宋_GB2312" w:eastAsia="仿宋_GB2312" w:cs="仿宋_GB2312"/>
          <w:bCs/>
          <w:color w:val="auto"/>
          <w:sz w:val="32"/>
          <w:szCs w:val="32"/>
          <w:highlight w:val="none"/>
          <w:lang w:val="en-US" w:eastAsia="zh-CN"/>
        </w:rPr>
        <w:t>5.94</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2101103</w:t>
      </w:r>
      <w:r>
        <w:rPr>
          <w:rFonts w:hint="eastAsia" w:ascii="仿宋_GB2312" w:hAnsi="仿宋_GB2312" w:eastAsia="仿宋_GB2312" w:cs="仿宋_GB2312"/>
          <w:bCs/>
          <w:color w:val="auto"/>
          <w:sz w:val="32"/>
          <w:szCs w:val="32"/>
          <w:highlight w:val="none"/>
          <w:lang w:eastAsia="zh-CN"/>
        </w:rPr>
        <w:t>公务员医疗补助</w:t>
      </w:r>
      <w:r>
        <w:rPr>
          <w:rFonts w:hint="eastAsia" w:ascii="仿宋_GB2312" w:hAnsi="仿宋_GB2312" w:eastAsia="仿宋_GB2312" w:cs="仿宋_GB2312"/>
          <w:bCs/>
          <w:color w:val="auto"/>
          <w:sz w:val="32"/>
          <w:szCs w:val="32"/>
          <w:highlight w:val="none"/>
          <w:lang w:val="en-US" w:eastAsia="zh-CN"/>
        </w:rPr>
        <w:t>5.02万元、2210201</w:t>
      </w:r>
      <w:r>
        <w:rPr>
          <w:rFonts w:hint="eastAsia" w:ascii="仿宋_GB2312" w:hAnsi="仿宋_GB2312" w:eastAsia="仿宋_GB2312" w:cs="仿宋_GB2312"/>
          <w:bCs/>
          <w:color w:val="auto"/>
          <w:sz w:val="32"/>
          <w:szCs w:val="32"/>
          <w:highlight w:val="none"/>
          <w:lang w:eastAsia="zh-CN"/>
        </w:rPr>
        <w:t>住房保障</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9.95</w:t>
      </w:r>
      <w:r>
        <w:rPr>
          <w:rFonts w:hint="eastAsia" w:ascii="仿宋_GB2312" w:hAnsi="仿宋_GB2312" w:eastAsia="仿宋_GB2312" w:cs="仿宋_GB2312"/>
          <w:bCs/>
          <w:color w:val="auto"/>
          <w:sz w:val="32"/>
          <w:szCs w:val="32"/>
          <w:highlight w:val="none"/>
        </w:rPr>
        <w:t>万元。</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四</w:t>
      </w:r>
      <w:r>
        <w:rPr>
          <w:rFonts w:hint="eastAsia" w:ascii="楷体_GB2312" w:hAnsi="楷体_GB2312" w:eastAsia="楷体_GB2312" w:cs="楷体_GB2312"/>
          <w:bCs/>
          <w:color w:val="auto"/>
          <w:sz w:val="32"/>
          <w:szCs w:val="32"/>
          <w:highlight w:val="none"/>
        </w:rPr>
        <w:t>）一般公共预算基本支出情况（详见表6、7）</w:t>
      </w:r>
      <w:bookmarkEnd w:id="36"/>
    </w:p>
    <w:p>
      <w:pPr>
        <w:keepNext w:val="0"/>
        <w:keepLines w:val="0"/>
        <w:widowControl w:val="0"/>
        <w:kinsoku/>
        <w:wordWrap/>
        <w:overflowPunct/>
        <w:topLinePunct w:val="0"/>
        <w:autoSpaceDE/>
        <w:autoSpaceDN/>
        <w:bidi w:val="0"/>
        <w:adjustRightInd/>
        <w:snapToGrid/>
        <w:spacing w:line="760" w:lineRule="exact"/>
        <w:ind w:left="302" w:leftChars="152" w:firstLine="309" w:firstLineChars="100"/>
        <w:textAlignment w:val="auto"/>
        <w:rPr>
          <w:rFonts w:hint="eastAsia" w:ascii="仿宋_GB2312" w:hAnsi="仿宋_GB2312" w:eastAsia="仿宋_GB2312" w:cs="仿宋_GB2312"/>
          <w:sz w:val="32"/>
          <w:szCs w:val="32"/>
          <w:lang w:eastAsia="zh-CN"/>
        </w:rPr>
      </w:pPr>
      <w:bookmarkStart w:id="37" w:name="_Toc16972_WPSOffice_Level2"/>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w:t>
      </w:r>
      <w:r>
        <w:rPr>
          <w:rFonts w:hint="eastAsia" w:ascii="仿宋_GB2312" w:hAnsi="仿宋_GB2312" w:eastAsia="仿宋_GB2312" w:cs="仿宋_GB2312"/>
          <w:bCs/>
          <w:color w:val="auto"/>
          <w:sz w:val="32"/>
          <w:szCs w:val="32"/>
          <w:highlight w:val="none"/>
          <w:lang w:eastAsia="zh-CN"/>
        </w:rPr>
        <w:t>市科协</w:t>
      </w:r>
      <w:r>
        <w:rPr>
          <w:rFonts w:hint="eastAsia" w:ascii="楷体_GB2312" w:hAnsi="楷体_GB2312" w:eastAsia="楷体_GB2312" w:cs="楷体_GB2312"/>
          <w:bCs/>
          <w:color w:val="auto"/>
          <w:sz w:val="32"/>
          <w:szCs w:val="32"/>
          <w:highlight w:val="none"/>
        </w:rPr>
        <w:t>一般公共预算基本支出</w:t>
      </w:r>
      <w:r>
        <w:rPr>
          <w:rFonts w:hint="eastAsia" w:ascii="仿宋_GB2312" w:hAnsi="仿宋_GB2312" w:eastAsia="仿宋_GB2312" w:cs="仿宋_GB2312"/>
          <w:sz w:val="32"/>
          <w:szCs w:val="32"/>
        </w:rPr>
        <w:t>预算总额</w:t>
      </w:r>
      <w:r>
        <w:rPr>
          <w:rFonts w:hint="eastAsia" w:ascii="仿宋_GB2312" w:hAnsi="仿宋_GB2312" w:eastAsia="仿宋_GB2312" w:cs="仿宋_GB2312"/>
          <w:bCs/>
          <w:color w:val="auto"/>
          <w:sz w:val="32"/>
          <w:szCs w:val="32"/>
          <w:highlight w:val="none"/>
          <w:lang w:val="en-US" w:eastAsia="zh-CN"/>
        </w:rPr>
        <w:t>626.18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p>
    <w:p>
      <w:pPr>
        <w:keepNext w:val="0"/>
        <w:keepLines w:val="0"/>
        <w:widowControl w:val="0"/>
        <w:kinsoku/>
        <w:wordWrap/>
        <w:overflowPunct/>
        <w:topLinePunct w:val="0"/>
        <w:autoSpaceDE/>
        <w:autoSpaceDN/>
        <w:bidi w:val="0"/>
        <w:adjustRightInd/>
        <w:snapToGrid/>
        <w:spacing w:line="760" w:lineRule="exact"/>
        <w:ind w:left="302" w:leftChars="152" w:firstLine="618" w:firstLineChars="200"/>
        <w:textAlignment w:val="auto"/>
        <w:rPr>
          <w:rFonts w:hint="default" w:ascii="仿宋_GB2312" w:hAnsi="仿宋_GB2312" w:eastAsia="仿宋_GB2312" w:cs="仿宋_GB2312"/>
          <w:bCs/>
          <w:color w:val="auto"/>
          <w:sz w:val="32"/>
          <w:szCs w:val="32"/>
          <w:highlight w:val="none"/>
          <w:lang w:val="en-US" w:eastAsia="zh-CN"/>
        </w:rPr>
      </w:pPr>
      <w:r>
        <w:rPr>
          <w:rFonts w:hint="eastAsia" w:ascii="仿宋_GB2312" w:eastAsia="仿宋_GB2312"/>
          <w:sz w:val="32"/>
          <w:szCs w:val="32"/>
          <w:lang w:eastAsia="zh-CN"/>
        </w:rPr>
        <w:t>按照部门预算经济科目人员经费</w:t>
      </w:r>
      <w:r>
        <w:rPr>
          <w:rFonts w:hint="eastAsia" w:ascii="仿宋_GB2312" w:eastAsia="仿宋_GB2312"/>
          <w:sz w:val="32"/>
          <w:szCs w:val="32"/>
          <w:lang w:val="en-US" w:eastAsia="zh-CN"/>
        </w:rPr>
        <w:t>117.25：30101</w:t>
      </w:r>
      <w:r>
        <w:rPr>
          <w:rFonts w:hint="eastAsia" w:ascii="仿宋_GB2312" w:eastAsia="仿宋_GB2312"/>
          <w:sz w:val="32"/>
          <w:szCs w:val="32"/>
          <w:lang w:eastAsia="zh-CN"/>
        </w:rPr>
        <w:t>基本工资</w:t>
      </w:r>
      <w:r>
        <w:rPr>
          <w:rFonts w:hint="eastAsia" w:ascii="仿宋_GB2312" w:eastAsia="仿宋_GB2312"/>
          <w:sz w:val="32"/>
          <w:szCs w:val="32"/>
          <w:lang w:val="en-US" w:eastAsia="zh-CN"/>
        </w:rPr>
        <w:t>25.72万元、30107</w:t>
      </w:r>
      <w:r>
        <w:rPr>
          <w:rFonts w:hint="eastAsia" w:ascii="仿宋_GB2312" w:eastAsia="仿宋_GB2312"/>
          <w:sz w:val="32"/>
          <w:szCs w:val="32"/>
          <w:lang w:eastAsia="zh-CN"/>
        </w:rPr>
        <w:t>绩效工资</w:t>
      </w:r>
      <w:r>
        <w:rPr>
          <w:rFonts w:hint="eastAsia" w:ascii="仿宋_GB2312" w:eastAsia="仿宋_GB2312"/>
          <w:sz w:val="32"/>
          <w:szCs w:val="32"/>
          <w:lang w:val="en-US" w:eastAsia="zh-CN"/>
        </w:rPr>
        <w:t>26.32万元、30103</w:t>
      </w:r>
      <w:r>
        <w:rPr>
          <w:rFonts w:hint="eastAsia" w:ascii="仿宋_GB2312" w:eastAsia="仿宋_GB2312"/>
          <w:sz w:val="32"/>
          <w:szCs w:val="32"/>
          <w:lang w:eastAsia="zh-CN"/>
        </w:rPr>
        <w:t>奖金</w:t>
      </w:r>
      <w:r>
        <w:rPr>
          <w:rFonts w:hint="eastAsia" w:ascii="仿宋_GB2312" w:eastAsia="仿宋_GB2312"/>
          <w:sz w:val="32"/>
          <w:szCs w:val="32"/>
          <w:lang w:val="en-US" w:eastAsia="zh-CN"/>
        </w:rPr>
        <w:t>20.16万元、</w:t>
      </w:r>
      <w:r>
        <w:rPr>
          <w:rFonts w:hint="eastAsia" w:ascii="仿宋_GB2312" w:hAnsi="仿宋_GB2312" w:eastAsia="仿宋_GB2312" w:cs="仿宋_GB2312"/>
          <w:bCs/>
          <w:color w:val="auto"/>
          <w:sz w:val="32"/>
          <w:szCs w:val="32"/>
          <w:highlight w:val="none"/>
          <w:lang w:val="en-US" w:eastAsia="zh-CN"/>
        </w:rPr>
        <w:t>30108机关事业单位基本养老保险缴费11.82万元、30109机关事业单位职业年金缴费支出6.97万元、30112其他</w:t>
      </w:r>
      <w:r>
        <w:rPr>
          <w:rFonts w:hint="eastAsia" w:ascii="仿宋_GB2312" w:hAnsi="仿宋_GB2312" w:eastAsia="仿宋_GB2312" w:cs="仿宋_GB2312"/>
          <w:bCs/>
          <w:color w:val="auto"/>
          <w:sz w:val="32"/>
          <w:szCs w:val="32"/>
          <w:highlight w:val="none"/>
          <w:lang w:eastAsia="zh-CN"/>
        </w:rPr>
        <w:t>社会保障和就业支出</w:t>
      </w:r>
      <w:r>
        <w:rPr>
          <w:rFonts w:hint="eastAsia" w:ascii="仿宋_GB2312" w:hAnsi="仿宋_GB2312" w:eastAsia="仿宋_GB2312" w:cs="仿宋_GB2312"/>
          <w:bCs/>
          <w:color w:val="auto"/>
          <w:sz w:val="32"/>
          <w:szCs w:val="32"/>
          <w:highlight w:val="none"/>
          <w:lang w:val="en-US" w:eastAsia="zh-CN"/>
        </w:rPr>
        <w:t>1.25万元</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val="en-US" w:eastAsia="zh-CN"/>
        </w:rPr>
        <w:t>30110</w:t>
      </w:r>
      <w:r>
        <w:rPr>
          <w:rFonts w:hint="eastAsia" w:ascii="仿宋_GB2312" w:hAnsi="仿宋_GB2312" w:eastAsia="仿宋_GB2312" w:cs="仿宋_GB2312"/>
          <w:bCs/>
          <w:color w:val="auto"/>
          <w:sz w:val="32"/>
          <w:szCs w:val="32"/>
          <w:highlight w:val="none"/>
          <w:lang w:eastAsia="zh-CN"/>
        </w:rPr>
        <w:t>职工基本医疗保险缴费</w:t>
      </w:r>
      <w:r>
        <w:rPr>
          <w:rFonts w:hint="eastAsia" w:ascii="仿宋_GB2312" w:hAnsi="仿宋_GB2312" w:eastAsia="仿宋_GB2312" w:cs="仿宋_GB2312"/>
          <w:bCs/>
          <w:color w:val="auto"/>
          <w:sz w:val="32"/>
          <w:szCs w:val="32"/>
          <w:highlight w:val="none"/>
          <w:lang w:val="en-US" w:eastAsia="zh-CN"/>
        </w:rPr>
        <w:t>5.94</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30111</w:t>
      </w:r>
      <w:r>
        <w:rPr>
          <w:rFonts w:hint="eastAsia" w:ascii="仿宋_GB2312" w:hAnsi="仿宋_GB2312" w:eastAsia="仿宋_GB2312" w:cs="仿宋_GB2312"/>
          <w:bCs/>
          <w:color w:val="auto"/>
          <w:sz w:val="32"/>
          <w:szCs w:val="32"/>
          <w:highlight w:val="none"/>
          <w:lang w:eastAsia="zh-CN"/>
        </w:rPr>
        <w:t>公务员医疗补助</w:t>
      </w:r>
      <w:r>
        <w:rPr>
          <w:rFonts w:hint="eastAsia" w:ascii="仿宋_GB2312" w:hAnsi="仿宋_GB2312" w:eastAsia="仿宋_GB2312" w:cs="仿宋_GB2312"/>
          <w:bCs/>
          <w:color w:val="auto"/>
          <w:sz w:val="32"/>
          <w:szCs w:val="32"/>
          <w:highlight w:val="none"/>
          <w:lang w:val="en-US" w:eastAsia="zh-CN"/>
        </w:rPr>
        <w:t>5.02万元、30113</w:t>
      </w:r>
      <w:r>
        <w:rPr>
          <w:rFonts w:hint="eastAsia" w:ascii="仿宋_GB2312" w:hAnsi="仿宋_GB2312" w:eastAsia="仿宋_GB2312" w:cs="仿宋_GB2312"/>
          <w:bCs/>
          <w:color w:val="auto"/>
          <w:sz w:val="32"/>
          <w:szCs w:val="32"/>
          <w:highlight w:val="none"/>
          <w:lang w:eastAsia="zh-CN"/>
        </w:rPr>
        <w:t>住房保障</w:t>
      </w:r>
      <w:r>
        <w:rPr>
          <w:rFonts w:hint="eastAsia" w:ascii="仿宋_GB2312" w:hAnsi="仿宋_GB2312" w:eastAsia="仿宋_GB2312" w:cs="仿宋_GB2312"/>
          <w:bCs/>
          <w:color w:val="auto"/>
          <w:sz w:val="32"/>
          <w:szCs w:val="32"/>
          <w:highlight w:val="none"/>
        </w:rPr>
        <w:t>支出</w:t>
      </w:r>
      <w:r>
        <w:rPr>
          <w:rFonts w:hint="eastAsia" w:ascii="仿宋_GB2312" w:hAnsi="仿宋_GB2312" w:eastAsia="仿宋_GB2312" w:cs="仿宋_GB2312"/>
          <w:bCs/>
          <w:color w:val="auto"/>
          <w:sz w:val="32"/>
          <w:szCs w:val="32"/>
          <w:highlight w:val="none"/>
          <w:lang w:val="en-US" w:eastAsia="zh-CN"/>
        </w:rPr>
        <w:t>9.95</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；公用经费</w:t>
      </w:r>
      <w:r>
        <w:rPr>
          <w:rFonts w:hint="eastAsia" w:ascii="仿宋_GB2312" w:hAnsi="仿宋_GB2312" w:eastAsia="仿宋_GB2312" w:cs="仿宋_GB2312"/>
          <w:bCs/>
          <w:color w:val="auto"/>
          <w:sz w:val="32"/>
          <w:szCs w:val="32"/>
          <w:highlight w:val="none"/>
          <w:lang w:val="en-US" w:eastAsia="zh-CN"/>
        </w:rPr>
        <w:t>15.18万元：30201</w:t>
      </w:r>
      <w:r>
        <w:rPr>
          <w:rFonts w:hint="eastAsia" w:ascii="仿宋_GB2312" w:hAnsi="仿宋_GB2312" w:eastAsia="仿宋_GB2312" w:cs="仿宋_GB2312"/>
          <w:bCs/>
          <w:color w:val="auto"/>
          <w:sz w:val="32"/>
          <w:szCs w:val="32"/>
          <w:highlight w:val="none"/>
          <w:lang w:eastAsia="zh-CN"/>
        </w:rPr>
        <w:t>办公费</w:t>
      </w:r>
      <w:r>
        <w:rPr>
          <w:rFonts w:hint="eastAsia" w:ascii="仿宋_GB2312" w:hAnsi="仿宋_GB2312" w:eastAsia="仿宋_GB2312" w:cs="仿宋_GB2312"/>
          <w:bCs/>
          <w:color w:val="auto"/>
          <w:sz w:val="32"/>
          <w:szCs w:val="32"/>
          <w:highlight w:val="none"/>
          <w:lang w:val="en-US" w:eastAsia="zh-CN"/>
        </w:rPr>
        <w:t>9.54万元、30202印刷费0.6万元、30228工会经费1.16万元、30231公务用车运行维护1.93万元、30299其他商品服务0.13万元。</w:t>
      </w:r>
    </w:p>
    <w:p>
      <w:pPr>
        <w:keepNext w:val="0"/>
        <w:keepLines w:val="0"/>
        <w:numPr>
          <w:ilvl w:val="0"/>
          <w:numId w:val="0"/>
        </w:numPr>
        <w:kinsoku/>
        <w:wordWrap/>
        <w:overflowPunct/>
        <w:topLinePunct w:val="0"/>
        <w:autoSpaceDE/>
        <w:autoSpaceDN/>
        <w:bidi w:val="0"/>
        <w:adjustRightInd/>
        <w:snapToGrid/>
        <w:spacing w:line="760" w:lineRule="exact"/>
        <w:ind w:firstLine="618" w:firstLineChars="200"/>
        <w:textAlignment w:val="auto"/>
        <w:rPr>
          <w:rFonts w:ascii="仿宋_GB2312" w:hAnsi="仿宋_GB2312" w:eastAsia="仿宋_GB2312" w:cs="仿宋_GB2312"/>
          <w:color w:val="000000"/>
          <w:sz w:val="32"/>
        </w:rPr>
      </w:pPr>
      <w:r>
        <w:rPr>
          <w:rFonts w:hint="eastAsia" w:ascii="仿宋_GB2312" w:hAnsi="仿宋_GB2312" w:eastAsia="仿宋_GB2312" w:cs="仿宋_GB2312"/>
          <w:bCs/>
          <w:sz w:val="32"/>
          <w:szCs w:val="32"/>
          <w:lang w:eastAsia="zh-CN"/>
        </w:rPr>
        <w:t>按政府预算经济科目分类</w:t>
      </w:r>
      <w:r>
        <w:rPr>
          <w:rFonts w:hint="eastAsia" w:ascii="仿宋_GB2312" w:hAnsi="仿宋_GB2312" w:eastAsia="仿宋_GB2312" w:cs="仿宋_GB2312"/>
          <w:color w:val="000000"/>
          <w:sz w:val="32"/>
        </w:rPr>
        <w:t>：</w:t>
      </w:r>
      <w:r>
        <w:rPr>
          <w:rFonts w:hint="eastAsia" w:ascii="仿宋_GB2312" w:hAnsi="仿宋_GB2312" w:eastAsia="仿宋_GB2312" w:cs="仿宋_GB2312"/>
          <w:color w:val="000000"/>
          <w:sz w:val="32"/>
          <w:lang w:val="en-US" w:eastAsia="zh-CN"/>
        </w:rPr>
        <w:t>50501</w:t>
      </w:r>
      <w:r>
        <w:rPr>
          <w:rFonts w:hint="eastAsia" w:ascii="仿宋_GB2312" w:hAnsi="仿宋_GB2312" w:eastAsia="仿宋_GB2312" w:cs="仿宋_GB2312"/>
          <w:color w:val="000000"/>
          <w:sz w:val="32"/>
        </w:rPr>
        <w:t>工资</w:t>
      </w:r>
      <w:r>
        <w:rPr>
          <w:rFonts w:hint="eastAsia" w:ascii="仿宋_GB2312" w:hAnsi="仿宋_GB2312" w:eastAsia="仿宋_GB2312" w:cs="仿宋_GB2312"/>
          <w:color w:val="000000"/>
          <w:sz w:val="32"/>
          <w:lang w:eastAsia="zh-CN"/>
        </w:rPr>
        <w:t>福利支出</w:t>
      </w:r>
      <w:r>
        <w:rPr>
          <w:rFonts w:hint="eastAsia" w:ascii="仿宋_GB2312" w:hAnsi="仿宋_GB2312" w:eastAsia="仿宋_GB2312" w:cs="仿宋_GB2312"/>
          <w:color w:val="000000"/>
          <w:sz w:val="32"/>
          <w:lang w:val="en-US" w:eastAsia="zh-CN"/>
        </w:rPr>
        <w:t>113.88</w:t>
      </w:r>
      <w:r>
        <w:rPr>
          <w:rFonts w:hint="eastAsia" w:ascii="仿宋_GB2312" w:hAnsi="仿宋_GB2312" w:eastAsia="仿宋_GB2312" w:cs="仿宋_GB2312"/>
          <w:color w:val="000000"/>
          <w:sz w:val="32"/>
        </w:rPr>
        <w:t>万元、</w:t>
      </w:r>
      <w:r>
        <w:rPr>
          <w:rFonts w:hint="eastAsia" w:ascii="仿宋_GB2312" w:hAnsi="仿宋_GB2312" w:eastAsia="仿宋_GB2312" w:cs="仿宋_GB2312"/>
          <w:color w:val="000000"/>
          <w:sz w:val="32"/>
          <w:lang w:eastAsia="zh-CN"/>
        </w:rPr>
        <w:t xml:space="preserve"> </w:t>
      </w:r>
      <w:r>
        <w:rPr>
          <w:rFonts w:hint="eastAsia" w:ascii="仿宋_GB2312" w:hAnsi="仿宋_GB2312" w:eastAsia="仿宋_GB2312" w:cs="仿宋_GB2312"/>
          <w:color w:val="000000"/>
          <w:sz w:val="32"/>
          <w:lang w:val="en-US" w:eastAsia="zh-CN"/>
        </w:rPr>
        <w:t>50502</w:t>
      </w:r>
      <w:r>
        <w:rPr>
          <w:rFonts w:hint="eastAsia" w:ascii="仿宋_GB2312" w:hAnsi="仿宋_GB2312" w:eastAsia="仿宋_GB2312" w:cs="仿宋_GB2312"/>
          <w:color w:val="000000"/>
          <w:sz w:val="32"/>
          <w:lang w:eastAsia="zh-CN"/>
        </w:rPr>
        <w:t>商品和服务支出</w:t>
      </w:r>
      <w:r>
        <w:rPr>
          <w:rFonts w:hint="eastAsia" w:ascii="仿宋_GB2312" w:hAnsi="仿宋_GB2312" w:eastAsia="仿宋_GB2312" w:cs="仿宋_GB2312"/>
          <w:color w:val="000000"/>
          <w:sz w:val="32"/>
          <w:lang w:val="en-US" w:eastAsia="zh-CN"/>
        </w:rPr>
        <w:t>15.18万元</w:t>
      </w:r>
      <w:r>
        <w:rPr>
          <w:rFonts w:hint="eastAsia" w:ascii="仿宋_GB2312" w:hAnsi="仿宋_GB2312" w:eastAsia="仿宋_GB2312" w:cs="仿宋_GB2312"/>
          <w:color w:val="000000"/>
          <w:sz w:val="32"/>
        </w:rPr>
        <w:t>、</w:t>
      </w:r>
      <w:r>
        <w:rPr>
          <w:rFonts w:hint="eastAsia" w:ascii="仿宋_GB2312" w:hAnsi="仿宋_GB2312" w:eastAsia="仿宋_GB2312" w:cs="仿宋_GB2312"/>
          <w:color w:val="000000"/>
          <w:sz w:val="32"/>
          <w:lang w:val="en-US" w:eastAsia="zh-CN"/>
        </w:rPr>
        <w:t>50905</w:t>
      </w:r>
      <w:r>
        <w:rPr>
          <w:rFonts w:hint="eastAsia" w:ascii="仿宋_GB2312" w:hAnsi="仿宋_GB2312" w:eastAsia="仿宋_GB2312" w:cs="仿宋_GB2312"/>
          <w:color w:val="000000"/>
          <w:sz w:val="32"/>
        </w:rPr>
        <w:t>离退休费</w:t>
      </w:r>
      <w:r>
        <w:rPr>
          <w:rFonts w:hint="eastAsia" w:ascii="仿宋_GB2312" w:hAnsi="仿宋_GB2312" w:eastAsia="仿宋_GB2312" w:cs="仿宋_GB2312"/>
          <w:color w:val="000000"/>
          <w:sz w:val="32"/>
          <w:lang w:val="en-US" w:eastAsia="zh-CN"/>
        </w:rPr>
        <w:t>3.37</w:t>
      </w:r>
      <w:r>
        <w:rPr>
          <w:rFonts w:hint="eastAsia" w:ascii="仿宋_GB2312" w:hAnsi="仿宋_GB2312" w:eastAsia="仿宋_GB2312" w:cs="仿宋_GB2312"/>
          <w:color w:val="000000"/>
          <w:sz w:val="32"/>
        </w:rPr>
        <w:t>万元</w:t>
      </w:r>
      <w:r>
        <w:rPr>
          <w:rFonts w:hint="eastAsia" w:ascii="仿宋_GB2312" w:hAnsi="仿宋_GB2312" w:eastAsia="仿宋_GB2312" w:cs="仿宋_GB2312"/>
          <w:color w:val="000000"/>
          <w:sz w:val="32"/>
          <w:lang w:eastAsia="zh-CN"/>
        </w:rPr>
        <w:t>。</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五</w:t>
      </w:r>
      <w:r>
        <w:rPr>
          <w:rFonts w:hint="eastAsia" w:ascii="楷体_GB2312" w:hAnsi="楷体_GB2312" w:eastAsia="楷体_GB2312" w:cs="楷体_GB2312"/>
          <w:bCs/>
          <w:color w:val="auto"/>
          <w:sz w:val="32"/>
          <w:szCs w:val="32"/>
          <w:highlight w:val="none"/>
        </w:rPr>
        <w:t>）政府性基金预算支出情况（详见表</w:t>
      </w:r>
      <w:r>
        <w:rPr>
          <w:rFonts w:hint="eastAsia" w:ascii="楷体_GB2312" w:hAnsi="楷体_GB2312" w:eastAsia="楷体_GB2312" w:cs="楷体_GB2312"/>
          <w:bCs/>
          <w:color w:val="auto"/>
          <w:sz w:val="32"/>
          <w:szCs w:val="32"/>
          <w:highlight w:val="none"/>
          <w:lang w:val="en-US" w:eastAsia="zh-CN"/>
        </w:rPr>
        <w:t>8</w:t>
      </w:r>
      <w:r>
        <w:rPr>
          <w:rFonts w:hint="eastAsia" w:ascii="楷体_GB2312" w:hAnsi="楷体_GB2312" w:eastAsia="楷体_GB2312" w:cs="楷体_GB2312"/>
          <w:bCs/>
          <w:color w:val="auto"/>
          <w:sz w:val="32"/>
          <w:szCs w:val="32"/>
          <w:highlight w:val="none"/>
        </w:rPr>
        <w:t>）</w:t>
      </w:r>
      <w:bookmarkEnd w:id="37"/>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本单位</w:t>
      </w:r>
      <w:r>
        <w:rPr>
          <w:rFonts w:hint="eastAsia" w:ascii="仿宋_GB2312" w:hAnsi="仿宋_GB2312" w:eastAsia="仿宋_GB2312" w:cs="仿宋_GB2312"/>
          <w:bCs/>
          <w:color w:val="auto"/>
          <w:sz w:val="32"/>
          <w:szCs w:val="32"/>
          <w:highlight w:val="none"/>
        </w:rPr>
        <w:t>无政府性基金支出。</w:t>
      </w:r>
      <w:bookmarkStart w:id="38" w:name="_Toc23139_WPSOffice_Level2"/>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b w:val="0"/>
          <w:bCs/>
          <w:color w:val="auto"/>
          <w:sz w:val="32"/>
          <w:szCs w:val="32"/>
          <w:highlight w:val="none"/>
        </w:rPr>
        <w:t>（</w:t>
      </w:r>
      <w:r>
        <w:rPr>
          <w:rFonts w:hint="eastAsia" w:ascii="楷体_GB2312" w:hAnsi="楷体_GB2312" w:eastAsia="楷体_GB2312" w:cs="楷体_GB2312"/>
          <w:b w:val="0"/>
          <w:bCs/>
          <w:color w:val="auto"/>
          <w:sz w:val="32"/>
          <w:szCs w:val="32"/>
          <w:highlight w:val="none"/>
          <w:lang w:eastAsia="zh-CN"/>
        </w:rPr>
        <w:t>六</w:t>
      </w:r>
      <w:r>
        <w:rPr>
          <w:rFonts w:hint="eastAsia" w:ascii="楷体_GB2312" w:hAnsi="楷体_GB2312" w:eastAsia="楷体_GB2312" w:cs="楷体_GB2312"/>
          <w:bCs/>
          <w:color w:val="auto"/>
          <w:sz w:val="32"/>
          <w:szCs w:val="32"/>
          <w:highlight w:val="none"/>
        </w:rPr>
        <w:t>）国有资本经营预算支出情况（详见表</w:t>
      </w:r>
      <w:r>
        <w:rPr>
          <w:rFonts w:hint="eastAsia" w:ascii="楷体_GB2312" w:hAnsi="楷体_GB2312" w:eastAsia="楷体_GB2312" w:cs="楷体_GB2312"/>
          <w:bCs/>
          <w:color w:val="auto"/>
          <w:sz w:val="32"/>
          <w:szCs w:val="32"/>
          <w:highlight w:val="none"/>
          <w:lang w:val="en-US" w:eastAsia="zh-CN"/>
        </w:rPr>
        <w:t>9</w:t>
      </w:r>
      <w:r>
        <w:rPr>
          <w:rFonts w:hint="eastAsia" w:ascii="楷体_GB2312" w:hAnsi="楷体_GB2312" w:eastAsia="楷体_GB2312" w:cs="楷体_GB2312"/>
          <w:bCs/>
          <w:color w:val="auto"/>
          <w:sz w:val="32"/>
          <w:szCs w:val="32"/>
          <w:highlight w:val="none"/>
        </w:rPr>
        <w:t>）</w:t>
      </w:r>
      <w:bookmarkEnd w:id="38"/>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本单位</w:t>
      </w:r>
      <w:r>
        <w:rPr>
          <w:rFonts w:hint="eastAsia" w:ascii="仿宋_GB2312" w:hAnsi="仿宋_GB2312" w:eastAsia="仿宋_GB2312" w:cs="仿宋_GB2312"/>
          <w:color w:val="auto"/>
          <w:sz w:val="32"/>
          <w:szCs w:val="32"/>
          <w:highlight w:val="none"/>
        </w:rPr>
        <w:t>无国有资本经营预算支出。</w:t>
      </w:r>
      <w:bookmarkStart w:id="39" w:name="_Toc3961_WPSOffice_Level2"/>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七</w:t>
      </w:r>
      <w:r>
        <w:rPr>
          <w:rFonts w:hint="eastAsia" w:ascii="楷体_GB2312" w:hAnsi="楷体_GB2312" w:eastAsia="楷体_GB2312" w:cs="楷体_GB2312"/>
          <w:bCs/>
          <w:color w:val="auto"/>
          <w:sz w:val="32"/>
          <w:szCs w:val="32"/>
          <w:highlight w:val="none"/>
        </w:rPr>
        <w:t>）</w:t>
      </w:r>
      <w:r>
        <w:rPr>
          <w:rFonts w:hint="eastAsia" w:ascii="楷体_GB2312" w:hAnsi="楷体_GB2312" w:eastAsia="楷体_GB2312" w:cs="楷体_GB2312"/>
          <w:bCs/>
          <w:color w:val="auto"/>
          <w:sz w:val="32"/>
          <w:szCs w:val="32"/>
          <w:highlight w:val="none"/>
          <w:lang w:eastAsia="zh-CN"/>
        </w:rPr>
        <w:t>财政拨款</w:t>
      </w:r>
      <w:r>
        <w:rPr>
          <w:rFonts w:hint="eastAsia" w:ascii="楷体_GB2312" w:hAnsi="楷体_GB2312" w:eastAsia="楷体_GB2312" w:cs="楷体_GB2312"/>
          <w:bCs/>
          <w:color w:val="auto"/>
          <w:sz w:val="32"/>
          <w:szCs w:val="32"/>
          <w:highlight w:val="none"/>
        </w:rPr>
        <w:t>“三公”经费支出</w:t>
      </w:r>
      <w:r>
        <w:rPr>
          <w:rFonts w:hint="eastAsia" w:ascii="楷体_GB2312" w:hAnsi="楷体_GB2312" w:eastAsia="楷体_GB2312" w:cs="楷体_GB2312"/>
          <w:bCs/>
          <w:color w:val="auto"/>
          <w:sz w:val="32"/>
          <w:szCs w:val="32"/>
          <w:highlight w:val="none"/>
          <w:lang w:eastAsia="zh-CN"/>
        </w:rPr>
        <w:t>预算</w:t>
      </w:r>
      <w:r>
        <w:rPr>
          <w:rFonts w:hint="eastAsia" w:ascii="楷体_GB2312" w:hAnsi="楷体_GB2312" w:eastAsia="楷体_GB2312" w:cs="楷体_GB2312"/>
          <w:bCs/>
          <w:color w:val="auto"/>
          <w:sz w:val="32"/>
          <w:szCs w:val="32"/>
          <w:highlight w:val="none"/>
        </w:rPr>
        <w:t>情况（详见表</w:t>
      </w:r>
      <w:r>
        <w:rPr>
          <w:rFonts w:hint="eastAsia" w:ascii="楷体_GB2312" w:hAnsi="楷体_GB2312" w:eastAsia="楷体_GB2312" w:cs="楷体_GB2312"/>
          <w:bCs/>
          <w:color w:val="auto"/>
          <w:sz w:val="32"/>
          <w:szCs w:val="32"/>
          <w:highlight w:val="none"/>
          <w:lang w:val="en-US" w:eastAsia="zh-CN"/>
        </w:rPr>
        <w:t>10</w:t>
      </w:r>
      <w:r>
        <w:rPr>
          <w:rFonts w:hint="eastAsia" w:ascii="楷体_GB2312" w:hAnsi="楷体_GB2312" w:eastAsia="楷体_GB2312" w:cs="楷体_GB2312"/>
          <w:bCs/>
          <w:color w:val="auto"/>
          <w:sz w:val="32"/>
          <w:szCs w:val="32"/>
          <w:highlight w:val="none"/>
        </w:rPr>
        <w:t>）</w:t>
      </w:r>
      <w:bookmarkEnd w:id="39"/>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lang w:val="en-US" w:eastAsia="zh-CN"/>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年部门财政拨款安排“三公”经费</w:t>
      </w:r>
      <w:r>
        <w:rPr>
          <w:rFonts w:hint="eastAsia" w:ascii="仿宋_GB2312" w:hAnsi="仿宋_GB2312" w:eastAsia="仿宋_GB2312" w:cs="仿宋_GB2312"/>
          <w:bCs/>
          <w:color w:val="auto"/>
          <w:sz w:val="32"/>
          <w:szCs w:val="32"/>
          <w:highlight w:val="none"/>
          <w:lang w:val="en-US" w:eastAsia="zh-CN"/>
        </w:rPr>
        <w:t>1.93</w:t>
      </w:r>
      <w:r>
        <w:rPr>
          <w:rFonts w:hint="eastAsia" w:ascii="仿宋_GB2312" w:hAnsi="仿宋_GB2312" w:eastAsia="仿宋_GB2312" w:cs="仿宋_GB2312"/>
          <w:bCs/>
          <w:color w:val="auto"/>
          <w:sz w:val="32"/>
          <w:szCs w:val="32"/>
          <w:highlight w:val="none"/>
        </w:rPr>
        <w:t>万元，其中：一般公共预算安排“三公”经费</w:t>
      </w:r>
      <w:r>
        <w:rPr>
          <w:rFonts w:hint="eastAsia" w:ascii="仿宋_GB2312" w:hAnsi="仿宋_GB2312" w:eastAsia="仿宋_GB2312" w:cs="仿宋_GB2312"/>
          <w:bCs/>
          <w:color w:val="auto"/>
          <w:sz w:val="32"/>
          <w:szCs w:val="32"/>
          <w:highlight w:val="none"/>
          <w:lang w:val="en-US" w:eastAsia="zh-CN"/>
        </w:rPr>
        <w:t>1.93</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，与上年</w:t>
      </w:r>
      <w:r>
        <w:rPr>
          <w:rFonts w:hint="eastAsia" w:ascii="仿宋_GB2312" w:hAnsi="仿宋_GB2312" w:eastAsia="仿宋_GB2312" w:cs="仿宋_GB2312"/>
          <w:bCs/>
          <w:color w:val="auto"/>
          <w:sz w:val="32"/>
          <w:szCs w:val="32"/>
          <w:highlight w:val="none"/>
        </w:rPr>
        <w:t>同口径</w:t>
      </w:r>
      <w:r>
        <w:rPr>
          <w:rFonts w:hint="eastAsia" w:ascii="仿宋_GB2312" w:hAnsi="仿宋_GB2312" w:eastAsia="仿宋_GB2312" w:cs="仿宋_GB2312"/>
          <w:bCs/>
          <w:color w:val="auto"/>
          <w:sz w:val="32"/>
          <w:szCs w:val="32"/>
          <w:highlight w:val="none"/>
          <w:lang w:eastAsia="zh-CN"/>
        </w:rPr>
        <w:t>比较</w:t>
      </w:r>
      <w:r>
        <w:rPr>
          <w:rFonts w:hint="eastAsia" w:ascii="仿宋_GB2312" w:hAnsi="仿宋_GB2312" w:eastAsia="仿宋_GB2312" w:cs="仿宋_GB2312"/>
          <w:bCs/>
          <w:color w:val="auto"/>
          <w:sz w:val="32"/>
          <w:szCs w:val="32"/>
          <w:highlight w:val="none"/>
        </w:rPr>
        <w:t>，增减变化情况如下：</w:t>
      </w:r>
    </w:p>
    <w:p>
      <w:pPr>
        <w:keepNext w:val="0"/>
        <w:keepLines w:val="0"/>
        <w:widowControl/>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年公务用车运行维护费</w:t>
      </w:r>
      <w:r>
        <w:rPr>
          <w:rFonts w:hint="eastAsia" w:ascii="仿宋_GB2312" w:hAnsi="仿宋_GB2312" w:eastAsia="仿宋_GB2312" w:cs="仿宋_GB2312"/>
          <w:bCs/>
          <w:color w:val="auto"/>
          <w:sz w:val="32"/>
          <w:szCs w:val="32"/>
          <w:highlight w:val="none"/>
          <w:lang w:val="en-US" w:eastAsia="zh-CN"/>
        </w:rPr>
        <w:t>1.93</w:t>
      </w:r>
      <w:r>
        <w:rPr>
          <w:rFonts w:hint="eastAsia" w:ascii="仿宋_GB2312" w:hAnsi="仿宋_GB2312" w:eastAsia="仿宋_GB2312" w:cs="仿宋_GB2312"/>
          <w:bCs/>
          <w:color w:val="auto"/>
          <w:sz w:val="32"/>
          <w:szCs w:val="32"/>
          <w:highlight w:val="none"/>
        </w:rPr>
        <w:t>万元，与</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年预算数持平，无增减变动。</w:t>
      </w:r>
    </w:p>
    <w:p>
      <w:pPr>
        <w:keepNext w:val="0"/>
        <w:keepLines w:val="0"/>
        <w:widowControl/>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w:t>
      </w:r>
      <w:r>
        <w:rPr>
          <w:rFonts w:hint="eastAsia" w:ascii="仿宋_GB2312" w:hAnsi="仿宋_GB2312" w:eastAsia="仿宋_GB2312" w:cs="仿宋_GB2312"/>
          <w:bCs/>
          <w:color w:val="auto"/>
          <w:sz w:val="32"/>
          <w:szCs w:val="32"/>
          <w:highlight w:val="none"/>
          <w:lang w:val="en-US" w:eastAsia="zh-CN"/>
        </w:rPr>
        <w:t>5</w:t>
      </w:r>
      <w:r>
        <w:rPr>
          <w:rFonts w:hint="eastAsia" w:ascii="仿宋_GB2312" w:hAnsi="仿宋_GB2312" w:eastAsia="仿宋_GB2312" w:cs="仿宋_GB2312"/>
          <w:bCs/>
          <w:color w:val="auto"/>
          <w:sz w:val="32"/>
          <w:szCs w:val="32"/>
          <w:highlight w:val="none"/>
        </w:rPr>
        <w:t>年公务用车购置费</w:t>
      </w:r>
      <w:r>
        <w:rPr>
          <w:rFonts w:hint="eastAsia" w:ascii="仿宋_GB2312" w:hAnsi="仿宋_GB2312" w:eastAsia="仿宋_GB2312" w:cs="仿宋_GB2312"/>
          <w:bCs/>
          <w:color w:val="auto"/>
          <w:sz w:val="32"/>
          <w:szCs w:val="32"/>
          <w:highlight w:val="none"/>
          <w:lang w:val="en-US" w:eastAsia="zh-CN"/>
        </w:rPr>
        <w:t>0</w:t>
      </w:r>
      <w:r>
        <w:rPr>
          <w:rFonts w:hint="eastAsia" w:ascii="仿宋_GB2312" w:hAnsi="仿宋_GB2312" w:eastAsia="仿宋_GB2312" w:cs="仿宋_GB2312"/>
          <w:bCs/>
          <w:color w:val="auto"/>
          <w:sz w:val="32"/>
          <w:szCs w:val="32"/>
          <w:highlight w:val="none"/>
        </w:rPr>
        <w:t>万元，与</w:t>
      </w:r>
      <w:r>
        <w:rPr>
          <w:rFonts w:hint="eastAsia" w:ascii="仿宋_GB2312" w:hAnsi="仿宋_GB2312" w:eastAsia="仿宋_GB2312" w:cs="仿宋_GB2312"/>
          <w:bCs/>
          <w:color w:val="auto"/>
          <w:sz w:val="32"/>
          <w:szCs w:val="32"/>
          <w:highlight w:val="none"/>
          <w:lang w:eastAsia="zh-CN"/>
        </w:rPr>
        <w:t>202</w:t>
      </w:r>
      <w:r>
        <w:rPr>
          <w:rFonts w:hint="eastAsia" w:ascii="仿宋_GB2312" w:hAnsi="仿宋_GB2312" w:eastAsia="仿宋_GB2312" w:cs="仿宋_GB2312"/>
          <w:bCs/>
          <w:color w:val="auto"/>
          <w:sz w:val="32"/>
          <w:szCs w:val="32"/>
          <w:highlight w:val="none"/>
          <w:lang w:val="en-US" w:eastAsia="zh-CN"/>
        </w:rPr>
        <w:t>4</w:t>
      </w:r>
      <w:r>
        <w:rPr>
          <w:rFonts w:hint="eastAsia" w:ascii="仿宋_GB2312" w:hAnsi="仿宋_GB2312" w:eastAsia="仿宋_GB2312" w:cs="仿宋_GB2312"/>
          <w:bCs/>
          <w:color w:val="auto"/>
          <w:sz w:val="32"/>
          <w:szCs w:val="32"/>
          <w:highlight w:val="none"/>
        </w:rPr>
        <w:t>年预算数持平，无增减变动。</w:t>
      </w:r>
      <w:r>
        <w:rPr>
          <w:rFonts w:hint="eastAsia" w:ascii="仿宋_GB2312" w:hAnsi="仿宋_GB2312" w:eastAsia="仿宋_GB2312" w:cs="仿宋_GB2312"/>
          <w:bCs/>
          <w:color w:val="auto"/>
          <w:sz w:val="32"/>
          <w:szCs w:val="32"/>
          <w:highlight w:val="none"/>
          <w:lang w:eastAsia="zh-CN"/>
        </w:rPr>
        <w:t>本</w:t>
      </w:r>
      <w:r>
        <w:rPr>
          <w:rFonts w:hint="eastAsia" w:ascii="仿宋_GB2312" w:hAnsi="仿宋_GB2312" w:eastAsia="仿宋_GB2312" w:cs="仿宋_GB2312"/>
          <w:color w:val="000000"/>
          <w:sz w:val="32"/>
        </w:rPr>
        <w:t>单位车辆编制数为1辆，实有车辆数1辆</w:t>
      </w:r>
      <w:r>
        <w:rPr>
          <w:rFonts w:hint="eastAsia" w:ascii="仿宋_GB2312" w:hAnsi="仿宋_GB2312" w:eastAsia="仿宋_GB2312" w:cs="仿宋_GB2312"/>
          <w:color w:val="000000"/>
          <w:sz w:val="32"/>
          <w:lang w:eastAsia="zh-CN"/>
        </w:rPr>
        <w:t>，</w:t>
      </w:r>
      <w:r>
        <w:rPr>
          <w:rFonts w:hint="eastAsia" w:ascii="仿宋_GB2312" w:hAnsi="仿宋_GB2312" w:eastAsia="仿宋_GB2312" w:cs="仿宋_GB2312"/>
          <w:color w:val="000000"/>
          <w:sz w:val="32"/>
        </w:rPr>
        <w:t>为</w:t>
      </w:r>
      <w:r>
        <w:rPr>
          <w:rFonts w:hint="eastAsia" w:ascii="仿宋_GB2312" w:hAnsi="仿宋_GB2312" w:eastAsia="仿宋_GB2312" w:cs="仿宋_GB2312"/>
          <w:color w:val="000000"/>
          <w:sz w:val="32"/>
          <w:lang w:eastAsia="zh-CN"/>
        </w:rPr>
        <w:t>特殊专用车辆</w:t>
      </w:r>
      <w:r>
        <w:rPr>
          <w:rFonts w:hint="eastAsia" w:ascii="仿宋_GB2312" w:hAnsi="仿宋_GB2312" w:eastAsia="仿宋_GB2312" w:cs="仿宋_GB2312"/>
          <w:color w:val="000000"/>
          <w:sz w:val="32"/>
          <w:lang w:val="en-US" w:eastAsia="zh-CN"/>
        </w:rPr>
        <w:t>-科普大篷车</w:t>
      </w:r>
      <w:r>
        <w:rPr>
          <w:rFonts w:hint="eastAsia" w:ascii="仿宋_GB2312" w:hAnsi="仿宋_GB2312" w:eastAsia="仿宋_GB2312" w:cs="仿宋_GB2312"/>
          <w:color w:val="000000"/>
          <w:sz w:val="32"/>
        </w:rPr>
        <w:t>。</w:t>
      </w:r>
      <w:r>
        <w:rPr>
          <w:rFonts w:hint="eastAsia" w:ascii="仿宋_GB2312" w:hAnsi="仿宋_GB2312" w:eastAsia="仿宋_GB2312" w:cs="仿宋_GB2312"/>
          <w:bCs/>
          <w:color w:val="auto"/>
          <w:sz w:val="32"/>
          <w:szCs w:val="32"/>
          <w:highlight w:val="none"/>
        </w:rPr>
        <w:t xml:space="preserve"> </w:t>
      </w:r>
    </w:p>
    <w:p>
      <w:pPr>
        <w:keepNext w:val="0"/>
        <w:keepLines w:val="0"/>
        <w:widowControl w:val="0"/>
        <w:numPr>
          <w:ilvl w:val="0"/>
          <w:numId w:val="0"/>
        </w:numPr>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bookmarkStart w:id="40" w:name="_Toc5267_WPSOffice_Level2"/>
      <w:r>
        <w:rPr>
          <w:rFonts w:hint="eastAsia" w:ascii="楷体_GB2312" w:hAnsi="楷体_GB2312" w:eastAsia="楷体_GB2312" w:cs="楷体_GB2312"/>
          <w:bCs/>
          <w:color w:val="auto"/>
          <w:sz w:val="32"/>
          <w:szCs w:val="32"/>
          <w:highlight w:val="none"/>
          <w:lang w:eastAsia="zh-CN"/>
        </w:rPr>
        <w:t>（八）部门政府采购预算</w:t>
      </w:r>
      <w:r>
        <w:rPr>
          <w:rFonts w:hint="eastAsia" w:ascii="楷体_GB2312" w:hAnsi="楷体_GB2312" w:eastAsia="楷体_GB2312" w:cs="楷体_GB2312"/>
          <w:bCs/>
          <w:color w:val="auto"/>
          <w:sz w:val="32"/>
          <w:szCs w:val="32"/>
          <w:highlight w:val="none"/>
        </w:rPr>
        <w:t>情况（详见表</w:t>
      </w:r>
      <w:r>
        <w:rPr>
          <w:rFonts w:hint="eastAsia" w:ascii="楷体_GB2312" w:hAnsi="楷体_GB2312" w:eastAsia="楷体_GB2312" w:cs="楷体_GB2312"/>
          <w:bCs/>
          <w:color w:val="auto"/>
          <w:sz w:val="32"/>
          <w:szCs w:val="32"/>
          <w:highlight w:val="none"/>
          <w:lang w:val="en-US" w:eastAsia="zh-CN"/>
        </w:rPr>
        <w:t>11</w:t>
      </w:r>
      <w:r>
        <w:rPr>
          <w:rFonts w:hint="eastAsia" w:ascii="楷体_GB2312" w:hAnsi="楷体_GB2312" w:eastAsia="楷体_GB2312" w:cs="楷体_GB2312"/>
          <w:bCs/>
          <w:color w:val="auto"/>
          <w:sz w:val="32"/>
          <w:szCs w:val="32"/>
          <w:highlight w:val="none"/>
        </w:rPr>
        <w:t>）</w:t>
      </w:r>
      <w:bookmarkEnd w:id="40"/>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市科技馆无</w:t>
      </w:r>
      <w:r>
        <w:rPr>
          <w:rFonts w:hint="eastAsia" w:ascii="仿宋_GB2312" w:hAnsi="仿宋_GB2312" w:eastAsia="仿宋_GB2312" w:cs="仿宋_GB2312"/>
          <w:bCs/>
          <w:color w:val="auto"/>
          <w:sz w:val="32"/>
          <w:szCs w:val="32"/>
          <w:highlight w:val="none"/>
        </w:rPr>
        <w:t>政府采购预算。</w:t>
      </w:r>
    </w:p>
    <w:p>
      <w:pPr>
        <w:keepNext w:val="0"/>
        <w:keepLines w:val="0"/>
        <w:widowControl w:val="0"/>
        <w:numPr>
          <w:ilvl w:val="0"/>
          <w:numId w:val="0"/>
        </w:numPr>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bookmarkStart w:id="41" w:name="_Toc740_WPSOffice_Level2"/>
      <w:r>
        <w:rPr>
          <w:rFonts w:hint="eastAsia" w:ascii="楷体_GB2312" w:hAnsi="楷体_GB2312" w:eastAsia="楷体_GB2312" w:cs="楷体_GB2312"/>
          <w:bCs/>
          <w:color w:val="auto"/>
          <w:sz w:val="32"/>
          <w:szCs w:val="32"/>
          <w:highlight w:val="none"/>
          <w:lang w:eastAsia="zh-CN"/>
        </w:rPr>
        <w:t>（九）</w:t>
      </w:r>
      <w:r>
        <w:rPr>
          <w:rFonts w:hint="eastAsia" w:ascii="楷体_GB2312" w:hAnsi="楷体_GB2312" w:eastAsia="楷体_GB2312" w:cs="楷体_GB2312"/>
          <w:bCs/>
          <w:color w:val="auto"/>
          <w:sz w:val="32"/>
          <w:szCs w:val="32"/>
          <w:highlight w:val="none"/>
        </w:rPr>
        <w:t>市对下转移支付</w:t>
      </w:r>
      <w:r>
        <w:rPr>
          <w:rFonts w:hint="eastAsia" w:ascii="楷体_GB2312" w:hAnsi="楷体_GB2312" w:eastAsia="楷体_GB2312" w:cs="楷体_GB2312"/>
          <w:bCs/>
          <w:color w:val="auto"/>
          <w:sz w:val="32"/>
          <w:szCs w:val="32"/>
          <w:highlight w:val="none"/>
          <w:lang w:eastAsia="zh-CN"/>
        </w:rPr>
        <w:t>预算</w:t>
      </w:r>
      <w:r>
        <w:rPr>
          <w:rFonts w:hint="eastAsia" w:ascii="楷体_GB2312" w:hAnsi="楷体_GB2312" w:eastAsia="楷体_GB2312" w:cs="楷体_GB2312"/>
          <w:bCs/>
          <w:color w:val="auto"/>
          <w:sz w:val="32"/>
          <w:szCs w:val="32"/>
          <w:highlight w:val="none"/>
        </w:rPr>
        <w:t>情况（详见表</w:t>
      </w:r>
      <w:r>
        <w:rPr>
          <w:rFonts w:hint="eastAsia" w:ascii="楷体_GB2312" w:hAnsi="楷体_GB2312" w:eastAsia="楷体_GB2312" w:cs="楷体_GB2312"/>
          <w:bCs/>
          <w:color w:val="auto"/>
          <w:sz w:val="32"/>
          <w:szCs w:val="32"/>
          <w:highlight w:val="none"/>
          <w:lang w:val="en-US" w:eastAsia="zh-CN"/>
        </w:rPr>
        <w:t>12</w:t>
      </w:r>
      <w:r>
        <w:rPr>
          <w:rFonts w:hint="eastAsia" w:ascii="楷体_GB2312" w:hAnsi="楷体_GB2312" w:eastAsia="楷体_GB2312" w:cs="楷体_GB2312"/>
          <w:bCs/>
          <w:color w:val="auto"/>
          <w:sz w:val="32"/>
          <w:szCs w:val="32"/>
          <w:highlight w:val="none"/>
        </w:rPr>
        <w:t>）</w:t>
      </w:r>
      <w:bookmarkEnd w:id="41"/>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lang w:val="en-US" w:eastAsia="zh-CN"/>
        </w:rPr>
        <w:t>2025年市科技馆</w:t>
      </w:r>
      <w:r>
        <w:rPr>
          <w:rFonts w:hint="eastAsia" w:ascii="仿宋_GB2312" w:hAnsi="仿宋_GB2312" w:eastAsia="仿宋_GB2312" w:cs="仿宋_GB2312"/>
          <w:bCs/>
          <w:color w:val="auto"/>
          <w:sz w:val="32"/>
          <w:szCs w:val="32"/>
          <w:highlight w:val="none"/>
        </w:rPr>
        <w:t>无此项支出。</w:t>
      </w:r>
      <w:bookmarkStart w:id="42" w:name="_Toc16131_WPSOffice_Level2"/>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（十）部门整体支出绩效目标情况（详见表13）</w:t>
      </w:r>
      <w:bookmarkEnd w:id="42"/>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本表由一级预算部门填报，</w:t>
      </w:r>
      <w:r>
        <w:rPr>
          <w:rFonts w:hint="eastAsia" w:ascii="仿宋_GB2312" w:hAnsi="仿宋_GB2312" w:eastAsia="仿宋_GB2312" w:cs="仿宋_GB2312"/>
          <w:bCs/>
          <w:color w:val="auto"/>
          <w:sz w:val="32"/>
          <w:szCs w:val="32"/>
          <w:highlight w:val="none"/>
          <w:lang w:eastAsia="zh-CN"/>
        </w:rPr>
        <w:t>市科技馆</w:t>
      </w:r>
      <w:r>
        <w:rPr>
          <w:rFonts w:hint="eastAsia" w:ascii="仿宋_GB2312" w:hAnsi="仿宋_GB2312" w:eastAsia="仿宋_GB2312" w:cs="仿宋_GB2312"/>
          <w:bCs/>
          <w:color w:val="auto"/>
          <w:sz w:val="32"/>
          <w:szCs w:val="32"/>
          <w:highlight w:val="none"/>
        </w:rPr>
        <w:t>无须填报。</w:t>
      </w:r>
      <w:bookmarkStart w:id="43" w:name="_Toc13728_WPSOffice_Level2"/>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rPr>
        <w:t>（十一）项目支出绩效目标情况（详见表14）</w:t>
      </w:r>
      <w:bookmarkEnd w:id="43"/>
    </w:p>
    <w:p>
      <w:pPr>
        <w:keepNext w:val="0"/>
        <w:keepLines w:val="0"/>
        <w:widowControl w:val="0"/>
        <w:numPr>
          <w:ilvl w:val="0"/>
          <w:numId w:val="0"/>
        </w:numPr>
        <w:kinsoku/>
        <w:wordWrap/>
        <w:overflowPunct/>
        <w:topLinePunct w:val="0"/>
        <w:autoSpaceDE/>
        <w:autoSpaceDN/>
        <w:bidi w:val="0"/>
        <w:adjustRightInd/>
        <w:snapToGrid/>
        <w:spacing w:line="760" w:lineRule="exact"/>
        <w:ind w:firstLine="618" w:firstLineChars="200"/>
        <w:textAlignment w:val="auto"/>
        <w:rPr>
          <w:rFonts w:hint="eastAsia" w:ascii="黑体" w:hAnsi="黑体" w:eastAsia="黑体" w:cs="黑体"/>
          <w:bCs/>
          <w:color w:val="auto"/>
          <w:sz w:val="32"/>
          <w:szCs w:val="32"/>
          <w:highlight w:val="none"/>
        </w:rPr>
      </w:pPr>
      <w:bookmarkStart w:id="44" w:name="_Toc971_WPSOffice_Level1"/>
      <w:r>
        <w:rPr>
          <w:rFonts w:hint="eastAsia" w:ascii="黑体" w:hAnsi="黑体" w:eastAsia="黑体" w:cs="黑体"/>
          <w:bCs/>
          <w:color w:val="auto"/>
          <w:sz w:val="32"/>
          <w:szCs w:val="32"/>
          <w:highlight w:val="none"/>
          <w:lang w:eastAsia="zh-CN"/>
        </w:rPr>
        <w:t>四、</w:t>
      </w:r>
      <w:r>
        <w:rPr>
          <w:rFonts w:hint="eastAsia" w:ascii="黑体" w:hAnsi="黑体" w:eastAsia="黑体" w:cs="黑体"/>
          <w:bCs/>
          <w:color w:val="auto"/>
          <w:sz w:val="32"/>
          <w:szCs w:val="32"/>
          <w:highlight w:val="none"/>
        </w:rPr>
        <w:t>其他重要事项说明</w:t>
      </w:r>
      <w:bookmarkEnd w:id="44"/>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lang w:eastAsia="zh-CN"/>
        </w:rPr>
      </w:pPr>
      <w:bookmarkStart w:id="45" w:name="_Toc20558_WPSOffice_Level2"/>
      <w:r>
        <w:rPr>
          <w:rFonts w:hint="eastAsia" w:ascii="楷体_GB2312" w:hAnsi="楷体_GB2312" w:eastAsia="楷体_GB2312" w:cs="楷体_GB2312"/>
          <w:bCs/>
          <w:color w:val="auto"/>
          <w:sz w:val="32"/>
          <w:szCs w:val="32"/>
          <w:highlight w:val="none"/>
        </w:rPr>
        <w:t>（一）</w:t>
      </w:r>
      <w:r>
        <w:rPr>
          <w:rFonts w:hint="eastAsia" w:ascii="楷体_GB2312" w:hAnsi="楷体_GB2312" w:eastAsia="楷体_GB2312" w:cs="楷体_GB2312"/>
          <w:bCs/>
          <w:color w:val="auto"/>
          <w:sz w:val="32"/>
          <w:szCs w:val="32"/>
          <w:highlight w:val="none"/>
          <w:lang w:eastAsia="zh-CN"/>
        </w:rPr>
        <w:t>机构</w:t>
      </w:r>
      <w:r>
        <w:rPr>
          <w:rFonts w:hint="eastAsia" w:ascii="楷体_GB2312" w:hAnsi="楷体_GB2312" w:eastAsia="楷体_GB2312" w:cs="楷体_GB2312"/>
          <w:bCs/>
          <w:color w:val="auto"/>
          <w:sz w:val="32"/>
          <w:szCs w:val="32"/>
          <w:highlight w:val="none"/>
        </w:rPr>
        <w:t>运行经费情况：</w:t>
      </w:r>
      <w:bookmarkEnd w:id="45"/>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市科技馆</w:t>
      </w:r>
      <w:r>
        <w:rPr>
          <w:rFonts w:hint="eastAsia" w:ascii="仿宋_GB2312" w:hAnsi="仿宋_GB2312" w:eastAsia="仿宋_GB2312" w:cs="仿宋_GB2312"/>
          <w:bCs/>
          <w:color w:val="auto"/>
          <w:sz w:val="32"/>
          <w:szCs w:val="32"/>
          <w:highlight w:val="none"/>
        </w:rPr>
        <w:t>运行经费预算为</w:t>
      </w:r>
      <w:r>
        <w:rPr>
          <w:rFonts w:hint="eastAsia" w:ascii="仿宋_GB2312" w:hAnsi="仿宋_GB2312" w:eastAsia="仿宋_GB2312" w:cs="仿宋_GB2312"/>
          <w:bCs/>
          <w:color w:val="auto"/>
          <w:sz w:val="32"/>
          <w:szCs w:val="32"/>
          <w:highlight w:val="none"/>
          <w:lang w:val="en-US" w:eastAsia="zh-CN"/>
        </w:rPr>
        <w:t>15.18</w:t>
      </w:r>
      <w:r>
        <w:rPr>
          <w:rFonts w:hint="eastAsia" w:ascii="仿宋_GB2312" w:hAnsi="仿宋_GB2312" w:eastAsia="仿宋_GB2312" w:cs="仿宋_GB2312"/>
          <w:bCs/>
          <w:color w:val="auto"/>
          <w:sz w:val="32"/>
          <w:szCs w:val="32"/>
          <w:highlight w:val="none"/>
        </w:rPr>
        <w:t>万元，其中：办公费</w:t>
      </w:r>
      <w:r>
        <w:rPr>
          <w:rFonts w:hint="eastAsia" w:ascii="仿宋_GB2312" w:hAnsi="仿宋_GB2312" w:eastAsia="仿宋_GB2312" w:cs="仿宋_GB2312"/>
          <w:bCs/>
          <w:color w:val="auto"/>
          <w:sz w:val="32"/>
          <w:szCs w:val="32"/>
          <w:highlight w:val="none"/>
          <w:lang w:val="en-US" w:eastAsia="zh-CN"/>
        </w:rPr>
        <w:t>9.54</w:t>
      </w:r>
      <w:r>
        <w:rPr>
          <w:rFonts w:hint="eastAsia" w:ascii="仿宋_GB2312" w:hAnsi="仿宋_GB2312" w:eastAsia="仿宋_GB2312" w:cs="仿宋_GB2312"/>
          <w:bCs/>
          <w:color w:val="auto"/>
          <w:sz w:val="32"/>
          <w:szCs w:val="32"/>
          <w:highlight w:val="none"/>
        </w:rPr>
        <w:t>万元、印刷费</w:t>
      </w:r>
      <w:r>
        <w:rPr>
          <w:rFonts w:hint="eastAsia" w:ascii="仿宋_GB2312" w:hAnsi="仿宋_GB2312" w:eastAsia="仿宋_GB2312" w:cs="仿宋_GB2312"/>
          <w:bCs/>
          <w:color w:val="auto"/>
          <w:sz w:val="32"/>
          <w:szCs w:val="32"/>
          <w:highlight w:val="none"/>
          <w:lang w:val="en-US" w:eastAsia="zh-CN"/>
        </w:rPr>
        <w:t>0.6</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差旅</w:t>
      </w:r>
      <w:r>
        <w:rPr>
          <w:rFonts w:hint="eastAsia" w:ascii="仿宋_GB2312" w:hAnsi="仿宋_GB2312" w:eastAsia="仿宋_GB2312" w:cs="仿宋_GB2312"/>
          <w:bCs/>
          <w:color w:val="auto"/>
          <w:sz w:val="32"/>
          <w:szCs w:val="32"/>
          <w:highlight w:val="none"/>
        </w:rPr>
        <w:t>费</w:t>
      </w:r>
      <w:r>
        <w:rPr>
          <w:rFonts w:hint="eastAsia" w:ascii="仿宋_GB2312" w:hAnsi="仿宋_GB2312" w:eastAsia="仿宋_GB2312" w:cs="仿宋_GB2312"/>
          <w:bCs/>
          <w:color w:val="auto"/>
          <w:sz w:val="32"/>
          <w:szCs w:val="32"/>
          <w:highlight w:val="none"/>
          <w:lang w:val="en-US" w:eastAsia="zh-CN"/>
        </w:rPr>
        <w:t>0.5</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委托业务</w:t>
      </w:r>
      <w:r>
        <w:rPr>
          <w:rFonts w:hint="eastAsia" w:ascii="仿宋_GB2312" w:hAnsi="仿宋_GB2312" w:eastAsia="仿宋_GB2312" w:cs="仿宋_GB2312"/>
          <w:bCs/>
          <w:color w:val="auto"/>
          <w:sz w:val="32"/>
          <w:szCs w:val="32"/>
          <w:highlight w:val="none"/>
        </w:rPr>
        <w:t>费</w:t>
      </w:r>
      <w:r>
        <w:rPr>
          <w:rFonts w:hint="eastAsia" w:ascii="仿宋_GB2312" w:hAnsi="仿宋_GB2312" w:eastAsia="仿宋_GB2312" w:cs="仿宋_GB2312"/>
          <w:bCs/>
          <w:color w:val="auto"/>
          <w:sz w:val="32"/>
          <w:szCs w:val="32"/>
          <w:highlight w:val="none"/>
          <w:lang w:val="en-US" w:eastAsia="zh-CN"/>
        </w:rPr>
        <w:t>1.32</w:t>
      </w:r>
      <w:r>
        <w:rPr>
          <w:rFonts w:hint="eastAsia" w:ascii="仿宋_GB2312" w:hAnsi="仿宋_GB2312" w:eastAsia="仿宋_GB2312" w:cs="仿宋_GB2312"/>
          <w:bCs/>
          <w:color w:val="auto"/>
          <w:sz w:val="32"/>
          <w:szCs w:val="32"/>
          <w:highlight w:val="none"/>
        </w:rPr>
        <w:t>万元。</w:t>
      </w: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年</w:t>
      </w:r>
      <w:r>
        <w:rPr>
          <w:rFonts w:hint="eastAsia" w:ascii="仿宋_GB2312" w:hAnsi="仿宋_GB2312" w:eastAsia="仿宋_GB2312" w:cs="仿宋_GB2312"/>
          <w:bCs/>
          <w:color w:val="auto"/>
          <w:sz w:val="32"/>
          <w:szCs w:val="32"/>
          <w:highlight w:val="none"/>
          <w:lang w:eastAsia="zh-CN"/>
        </w:rPr>
        <w:t>市科技馆</w:t>
      </w:r>
      <w:r>
        <w:rPr>
          <w:rFonts w:hint="eastAsia" w:ascii="仿宋_GB2312" w:hAnsi="仿宋_GB2312" w:eastAsia="仿宋_GB2312" w:cs="仿宋_GB2312"/>
          <w:bCs/>
          <w:color w:val="auto"/>
          <w:sz w:val="32"/>
          <w:szCs w:val="32"/>
          <w:highlight w:val="none"/>
        </w:rPr>
        <w:t>机构运行经费预算比</w:t>
      </w:r>
      <w:r>
        <w:rPr>
          <w:rFonts w:hint="eastAsia" w:ascii="仿宋_GB2312" w:hAnsi="仿宋_GB2312" w:eastAsia="仿宋_GB2312" w:cs="仿宋_GB2312"/>
          <w:bCs/>
          <w:color w:val="auto"/>
          <w:sz w:val="32"/>
          <w:szCs w:val="32"/>
          <w:highlight w:val="none"/>
          <w:lang w:eastAsia="zh-CN"/>
        </w:rPr>
        <w:t>2024</w:t>
      </w:r>
      <w:r>
        <w:rPr>
          <w:rFonts w:hint="eastAsia" w:ascii="仿宋_GB2312" w:hAnsi="仿宋_GB2312" w:eastAsia="仿宋_GB2312" w:cs="仿宋_GB2312"/>
          <w:bCs/>
          <w:color w:val="auto"/>
          <w:sz w:val="32"/>
          <w:szCs w:val="32"/>
          <w:highlight w:val="none"/>
        </w:rPr>
        <w:t>年同口径预算减少</w:t>
      </w:r>
      <w:r>
        <w:rPr>
          <w:rFonts w:hint="eastAsia" w:ascii="仿宋_GB2312" w:hAnsi="仿宋_GB2312" w:eastAsia="仿宋_GB2312" w:cs="仿宋_GB2312"/>
          <w:bCs/>
          <w:color w:val="auto"/>
          <w:sz w:val="32"/>
          <w:szCs w:val="32"/>
          <w:highlight w:val="none"/>
          <w:lang w:val="en-US" w:eastAsia="zh-CN"/>
        </w:rPr>
        <w:t>5.58</w:t>
      </w:r>
      <w:r>
        <w:rPr>
          <w:rFonts w:hint="eastAsia" w:ascii="仿宋_GB2312" w:hAnsi="仿宋_GB2312" w:eastAsia="仿宋_GB2312" w:cs="仿宋_GB2312"/>
          <w:bCs/>
          <w:color w:val="auto"/>
          <w:sz w:val="32"/>
          <w:szCs w:val="32"/>
          <w:highlight w:val="none"/>
        </w:rPr>
        <w:t>万元，下降</w:t>
      </w:r>
      <w:r>
        <w:rPr>
          <w:rFonts w:hint="eastAsia" w:ascii="仿宋_GB2312" w:hAnsi="仿宋_GB2312" w:eastAsia="仿宋_GB2312" w:cs="仿宋_GB2312"/>
          <w:bCs/>
          <w:color w:val="auto"/>
          <w:sz w:val="32"/>
          <w:szCs w:val="32"/>
          <w:highlight w:val="none"/>
          <w:lang w:val="en-US" w:eastAsia="zh-CN"/>
        </w:rPr>
        <w:t>26.88</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主要原因是</w:t>
      </w:r>
      <w:r>
        <w:rPr>
          <w:rFonts w:hint="eastAsia" w:ascii="仿宋_GB2312" w:hAnsi="仿宋_GB2312" w:eastAsia="仿宋_GB2312" w:cs="仿宋_GB2312"/>
          <w:bCs/>
          <w:color w:val="auto"/>
          <w:sz w:val="32"/>
          <w:szCs w:val="32"/>
          <w:highlight w:val="none"/>
        </w:rPr>
        <w:t>：</w:t>
      </w:r>
      <w:r>
        <w:rPr>
          <w:rFonts w:hint="eastAsia" w:ascii="仿宋_GB2312" w:hAnsi="仿宋_GB2312" w:eastAsia="仿宋_GB2312" w:cs="仿宋_GB2312"/>
          <w:bCs/>
          <w:color w:val="auto"/>
          <w:sz w:val="32"/>
          <w:szCs w:val="32"/>
          <w:highlight w:val="none"/>
          <w:lang w:eastAsia="zh-CN"/>
        </w:rPr>
        <w:t>经费结构调整</w:t>
      </w:r>
      <w:r>
        <w:rPr>
          <w:rFonts w:hint="eastAsia" w:ascii="仿宋_GB2312" w:hAnsi="仿宋_GB2312" w:eastAsia="仿宋_GB2312" w:cs="仿宋_GB2312"/>
          <w:bCs/>
          <w:color w:val="auto"/>
          <w:sz w:val="32"/>
          <w:szCs w:val="32"/>
          <w:highlight w:val="none"/>
        </w:rPr>
        <w:t>。</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lang w:eastAsia="zh-CN"/>
        </w:rPr>
      </w:pPr>
      <w:bookmarkStart w:id="46" w:name="_Toc18020_WPSOffice_Level2"/>
      <w:r>
        <w:rPr>
          <w:rFonts w:hint="eastAsia" w:ascii="楷体_GB2312" w:hAnsi="楷体_GB2312" w:eastAsia="楷体_GB2312" w:cs="楷体_GB2312"/>
          <w:bCs/>
          <w:color w:val="auto"/>
          <w:sz w:val="32"/>
          <w:szCs w:val="32"/>
          <w:highlight w:val="none"/>
          <w:lang w:eastAsia="zh-CN"/>
        </w:rPr>
        <w:t>（二）</w:t>
      </w:r>
      <w:r>
        <w:rPr>
          <w:rFonts w:hint="eastAsia" w:ascii="楷体_GB2312" w:hAnsi="楷体_GB2312" w:eastAsia="楷体_GB2312" w:cs="楷体_GB2312"/>
          <w:bCs/>
          <w:color w:val="auto"/>
          <w:sz w:val="32"/>
          <w:szCs w:val="32"/>
          <w:highlight w:val="none"/>
        </w:rPr>
        <w:t>国有资产占有使用情况：</w:t>
      </w:r>
      <w:bookmarkEnd w:id="46"/>
      <w:r>
        <w:rPr>
          <w:rFonts w:hint="eastAsia" w:ascii="仿宋_GB2312" w:hAnsi="仿宋_GB2312" w:eastAsia="仿宋_GB2312" w:cs="仿宋_GB2312"/>
          <w:bCs/>
          <w:color w:val="auto"/>
          <w:sz w:val="32"/>
          <w:szCs w:val="32"/>
          <w:highlight w:val="none"/>
          <w:lang w:eastAsia="zh-CN"/>
        </w:rPr>
        <w:t>截至</w:t>
      </w:r>
      <w:r>
        <w:rPr>
          <w:rFonts w:hint="eastAsia" w:ascii="仿宋_GB2312" w:hAnsi="仿宋_GB2312" w:eastAsia="仿宋_GB2312" w:cs="仿宋_GB2312"/>
          <w:bCs/>
          <w:color w:val="auto"/>
          <w:sz w:val="32"/>
          <w:szCs w:val="32"/>
          <w:highlight w:val="none"/>
          <w:lang w:val="en-US" w:eastAsia="zh-CN"/>
        </w:rPr>
        <w:t>2024</w:t>
      </w:r>
      <w:r>
        <w:rPr>
          <w:rFonts w:hint="eastAsia" w:ascii="仿宋_GB2312" w:hAnsi="仿宋_GB2312" w:eastAsia="仿宋_GB2312" w:cs="仿宋_GB2312"/>
          <w:bCs/>
          <w:color w:val="auto"/>
          <w:sz w:val="32"/>
          <w:szCs w:val="32"/>
          <w:highlight w:val="none"/>
          <w:lang w:eastAsia="zh-CN"/>
        </w:rPr>
        <w:t>年</w:t>
      </w:r>
      <w:r>
        <w:rPr>
          <w:rFonts w:hint="eastAsia" w:ascii="仿宋_GB2312" w:hAnsi="仿宋_GB2312" w:eastAsia="仿宋_GB2312" w:cs="仿宋_GB2312"/>
          <w:bCs/>
          <w:color w:val="auto"/>
          <w:sz w:val="32"/>
          <w:szCs w:val="32"/>
          <w:highlight w:val="none"/>
          <w:lang w:val="en-US" w:eastAsia="zh-CN"/>
        </w:rPr>
        <w:t>12</w:t>
      </w:r>
      <w:r>
        <w:rPr>
          <w:rFonts w:hint="eastAsia" w:ascii="仿宋_GB2312" w:hAnsi="仿宋_GB2312" w:eastAsia="仿宋_GB2312" w:cs="仿宋_GB2312"/>
          <w:bCs/>
          <w:color w:val="auto"/>
          <w:sz w:val="32"/>
          <w:szCs w:val="32"/>
          <w:highlight w:val="none"/>
          <w:lang w:eastAsia="zh-CN"/>
        </w:rPr>
        <w:t>月</w:t>
      </w:r>
      <w:r>
        <w:rPr>
          <w:rFonts w:hint="eastAsia" w:ascii="仿宋_GB2312" w:hAnsi="仿宋_GB2312" w:eastAsia="仿宋_GB2312" w:cs="仿宋_GB2312"/>
          <w:bCs/>
          <w:color w:val="auto"/>
          <w:sz w:val="32"/>
          <w:szCs w:val="32"/>
          <w:highlight w:val="none"/>
          <w:lang w:val="en-US" w:eastAsia="zh-CN"/>
        </w:rPr>
        <w:t>31</w:t>
      </w:r>
      <w:r>
        <w:rPr>
          <w:rFonts w:hint="eastAsia" w:ascii="仿宋_GB2312" w:hAnsi="仿宋_GB2312" w:eastAsia="仿宋_GB2312" w:cs="仿宋_GB2312"/>
          <w:bCs/>
          <w:color w:val="auto"/>
          <w:sz w:val="32"/>
          <w:szCs w:val="32"/>
          <w:highlight w:val="none"/>
          <w:lang w:eastAsia="zh-CN"/>
        </w:rPr>
        <w:t>日，本单位固定资产金额</w:t>
      </w:r>
      <w:r>
        <w:rPr>
          <w:rFonts w:hint="eastAsia" w:ascii="仿宋_GB2312" w:hAnsi="仿宋_GB2312" w:eastAsia="仿宋_GB2312" w:cs="仿宋_GB2312"/>
          <w:bCs/>
          <w:color w:val="auto"/>
          <w:sz w:val="32"/>
          <w:szCs w:val="32"/>
          <w:highlight w:val="none"/>
          <w:lang w:val="en-US" w:eastAsia="zh-CN"/>
        </w:rPr>
        <w:t>25.42</w:t>
      </w:r>
      <w:r>
        <w:rPr>
          <w:rFonts w:hint="eastAsia" w:ascii="仿宋_GB2312" w:hAnsi="仿宋_GB2312" w:eastAsia="仿宋_GB2312" w:cs="仿宋_GB2312"/>
          <w:bCs/>
          <w:color w:val="auto"/>
          <w:sz w:val="32"/>
          <w:szCs w:val="32"/>
          <w:highlight w:val="none"/>
          <w:lang w:eastAsia="zh-CN"/>
        </w:rPr>
        <w:t>万元，分布构成情况为：车辆</w:t>
      </w:r>
      <w:r>
        <w:rPr>
          <w:rFonts w:hint="eastAsia" w:ascii="仿宋_GB2312" w:hAnsi="仿宋_GB2312" w:eastAsia="仿宋_GB2312" w:cs="仿宋_GB2312"/>
          <w:bCs/>
          <w:color w:val="auto"/>
          <w:sz w:val="32"/>
          <w:szCs w:val="32"/>
          <w:highlight w:val="none"/>
          <w:lang w:val="en-US" w:eastAsia="zh-CN"/>
        </w:rPr>
        <w:t>1</w:t>
      </w:r>
      <w:r>
        <w:rPr>
          <w:rFonts w:hint="eastAsia" w:ascii="仿宋_GB2312" w:hAnsi="仿宋_GB2312" w:eastAsia="仿宋_GB2312" w:cs="仿宋_GB2312"/>
          <w:bCs/>
          <w:color w:val="auto"/>
          <w:sz w:val="32"/>
          <w:szCs w:val="32"/>
          <w:highlight w:val="none"/>
          <w:lang w:eastAsia="zh-CN"/>
        </w:rPr>
        <w:t>辆，设备</w:t>
      </w:r>
      <w:r>
        <w:rPr>
          <w:rFonts w:hint="eastAsia" w:ascii="仿宋_GB2312" w:hAnsi="仿宋_GB2312" w:eastAsia="仿宋_GB2312" w:cs="仿宋_GB2312"/>
          <w:bCs/>
          <w:color w:val="auto"/>
          <w:sz w:val="32"/>
          <w:szCs w:val="32"/>
          <w:highlight w:val="none"/>
          <w:lang w:val="en-US" w:eastAsia="zh-CN"/>
        </w:rPr>
        <w:t>13.99万元</w:t>
      </w:r>
      <w:r>
        <w:rPr>
          <w:rFonts w:hint="eastAsia" w:ascii="仿宋_GB2312" w:hAnsi="仿宋_GB2312" w:eastAsia="仿宋_GB2312" w:cs="仿宋_GB2312"/>
          <w:bCs/>
          <w:color w:val="auto"/>
          <w:sz w:val="32"/>
          <w:szCs w:val="32"/>
          <w:highlight w:val="none"/>
          <w:lang w:eastAsia="zh-CN"/>
        </w:rPr>
        <w:t>等。</w:t>
      </w:r>
      <w:bookmarkStart w:id="47" w:name="_Toc3245_WPSOffice_Level2"/>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楷体_GB2312" w:hAnsi="楷体_GB2312" w:eastAsia="楷体_GB2312" w:cs="楷体_GB2312"/>
          <w:bCs/>
          <w:color w:val="auto"/>
          <w:sz w:val="32"/>
          <w:szCs w:val="32"/>
          <w:highlight w:val="none"/>
          <w:lang w:eastAsia="zh-CN"/>
        </w:rPr>
        <w:t>（三）预算绩效管理情况：</w:t>
      </w:r>
      <w:bookmarkEnd w:id="47"/>
      <w:r>
        <w:rPr>
          <w:rFonts w:hint="eastAsia" w:ascii="仿宋_GB2312" w:hAnsi="仿宋_GB2312" w:eastAsia="仿宋_GB2312" w:cs="仿宋_GB2312"/>
          <w:bCs/>
          <w:color w:val="auto"/>
          <w:sz w:val="32"/>
          <w:szCs w:val="32"/>
          <w:highlight w:val="none"/>
          <w:lang w:eastAsia="zh-CN"/>
        </w:rPr>
        <w:t>2025年，实行绩效目标管理的项目</w:t>
      </w:r>
      <w:r>
        <w:rPr>
          <w:rFonts w:hint="eastAsia" w:ascii="仿宋_GB2312" w:hAnsi="仿宋_GB2312" w:eastAsia="仿宋_GB2312" w:cs="仿宋_GB2312"/>
          <w:bCs/>
          <w:color w:val="auto"/>
          <w:sz w:val="32"/>
          <w:szCs w:val="32"/>
          <w:highlight w:val="none"/>
          <w:lang w:val="en-US" w:eastAsia="zh-CN"/>
        </w:rPr>
        <w:t>1</w:t>
      </w:r>
      <w:r>
        <w:rPr>
          <w:rFonts w:hint="eastAsia" w:ascii="仿宋_GB2312" w:hAnsi="仿宋_GB2312" w:eastAsia="仿宋_GB2312" w:cs="仿宋_GB2312"/>
          <w:bCs/>
          <w:color w:val="auto"/>
          <w:sz w:val="32"/>
          <w:szCs w:val="32"/>
          <w:highlight w:val="none"/>
          <w:lang w:eastAsia="zh-CN"/>
        </w:rPr>
        <w:t>个，涉及财政拨款预算</w:t>
      </w:r>
      <w:r>
        <w:rPr>
          <w:rFonts w:hint="eastAsia" w:ascii="仿宋_GB2312" w:hAnsi="仿宋_GB2312" w:eastAsia="仿宋_GB2312" w:cs="仿宋_GB2312"/>
          <w:bCs/>
          <w:color w:val="auto"/>
          <w:sz w:val="32"/>
          <w:szCs w:val="32"/>
          <w:highlight w:val="none"/>
          <w:lang w:val="en-US" w:eastAsia="zh-CN"/>
        </w:rPr>
        <w:t>15</w:t>
      </w:r>
      <w:r>
        <w:rPr>
          <w:rFonts w:hint="eastAsia" w:ascii="仿宋_GB2312" w:hAnsi="仿宋_GB2312" w:eastAsia="仿宋_GB2312" w:cs="仿宋_GB2312"/>
          <w:bCs/>
          <w:color w:val="auto"/>
          <w:sz w:val="32"/>
          <w:szCs w:val="32"/>
          <w:highlight w:val="none"/>
          <w:lang w:eastAsia="zh-CN"/>
        </w:rPr>
        <w:t>万元。</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bookmarkStart w:id="48" w:name="_Toc3940_WPSOffice_Level2"/>
      <w:r>
        <w:rPr>
          <w:rFonts w:hint="eastAsia" w:ascii="楷体_GB2312" w:hAnsi="楷体_GB2312" w:eastAsia="楷体_GB2312" w:cs="楷体_GB2312"/>
          <w:bCs/>
          <w:color w:val="auto"/>
          <w:sz w:val="32"/>
          <w:szCs w:val="32"/>
          <w:highlight w:val="none"/>
        </w:rPr>
        <w:t>（四）项目支出安排情况</w:t>
      </w:r>
      <w:bookmarkEnd w:id="48"/>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r>
        <w:rPr>
          <w:rFonts w:hint="eastAsia" w:ascii="仿宋_GB2312" w:hAnsi="仿宋_GB2312" w:eastAsia="仿宋_GB2312" w:cs="仿宋_GB2312"/>
          <w:bCs/>
          <w:color w:val="auto"/>
          <w:sz w:val="32"/>
          <w:szCs w:val="32"/>
          <w:highlight w:val="none"/>
          <w:lang w:eastAsia="zh-CN"/>
        </w:rPr>
        <w:t>2025</w:t>
      </w:r>
      <w:r>
        <w:rPr>
          <w:rFonts w:hint="eastAsia" w:ascii="仿宋_GB2312" w:hAnsi="仿宋_GB2312" w:eastAsia="仿宋_GB2312" w:cs="仿宋_GB2312"/>
          <w:bCs/>
          <w:color w:val="auto"/>
          <w:sz w:val="32"/>
          <w:szCs w:val="32"/>
          <w:highlight w:val="none"/>
        </w:rPr>
        <w:t xml:space="preserve">年部门预算中无重要项目、重点支出安排。 </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楷体_GB2312" w:hAnsi="楷体_GB2312" w:eastAsia="楷体_GB2312" w:cs="楷体_GB2312"/>
          <w:bCs/>
          <w:color w:val="auto"/>
          <w:sz w:val="32"/>
          <w:szCs w:val="32"/>
          <w:highlight w:val="none"/>
        </w:rPr>
      </w:pPr>
      <w:bookmarkStart w:id="49" w:name="_Toc22779_WPSOffice_Level2"/>
      <w:r>
        <w:rPr>
          <w:rFonts w:hint="eastAsia" w:ascii="楷体_GB2312" w:hAnsi="楷体_GB2312" w:eastAsia="楷体_GB2312" w:cs="楷体_GB2312"/>
          <w:bCs/>
          <w:color w:val="auto"/>
          <w:sz w:val="32"/>
          <w:szCs w:val="32"/>
          <w:highlight w:val="none"/>
        </w:rPr>
        <w:t>（五）名词解释</w:t>
      </w:r>
      <w:bookmarkEnd w:id="49"/>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１.一般公共预算：是指对以税收为主体的财政收入，安排用于保障和改善民生、推动经济社会发展、维护国家安全、维持国家机构正常运转等方面的收支预算。</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２.政府性基金预算：</w:t>
      </w:r>
      <w:r>
        <w:rPr>
          <w:rFonts w:hint="eastAsia" w:ascii="仿宋_GB2312" w:hAnsi="仿宋_GB2312" w:eastAsia="仿宋_GB2312" w:cs="仿宋_GB2312"/>
          <w:bCs/>
          <w:color w:val="auto"/>
          <w:sz w:val="32"/>
          <w:szCs w:val="32"/>
          <w:highlight w:val="none"/>
          <w:lang w:eastAsia="zh-CN"/>
        </w:rPr>
        <w:t>是</w:t>
      </w:r>
      <w:r>
        <w:rPr>
          <w:rFonts w:hint="eastAsia" w:ascii="仿宋_GB2312" w:hAnsi="仿宋_GB2312" w:eastAsia="仿宋_GB2312" w:cs="仿宋_GB2312"/>
          <w:bCs/>
          <w:color w:val="auto"/>
          <w:sz w:val="32"/>
          <w:szCs w:val="32"/>
          <w:highlight w:val="none"/>
        </w:rPr>
        <w:t>指以依照法律、行政法规的规定在一定期限内向特定对象征收、收取或者以其他方式筹集的资金，专项用于特定公共事业发展的收支预算。政府性基金预算应当根据基金项目收入情况和实际支出需要，按基金项目编制，做到以收定支。</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３.国有资本经营预算：是指国家以所有者身份依法取得国有资本收益，并对所得收益进行分配而发生的各项收支预算，是政府预算的重要组成部分。国有资本经营预算按年度单独编制，纳入本级人民政府预算，报本级人民代表大会批准。国有资本经营预算支出按照当年预算收入规模安排，不列赤字。</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4.财政拨款收入：是指单位从同级财政部门取得的各类财政拨款，包括一般公共预算资金、政府性基金预算资金和国有资本经营预算资金。</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５.财政专户管理资金收入：专指教育收费收入，包括目前在财政专户管理的高中以上学费、住宿费，高校委托培养费，党校收费，教育考试考务费，函大、电大、夜大及短期培训班费等。</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６.事业收入：是指事业单位开展专业业务活动，及其辅助活动取得的收入，不含教育收费收入。</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７.事业单位经营收入：是指事业单位在专业业务活动及其辅助活动之外开展非独立核算经营活动取得的收入。</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8.上级补助收入：是指事业单位从主管部门和上级单位取得的非财政拨款收入。</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9.附属单位上缴收入：是指事业单位取得附属独立核算单位根据有关规定上缴的收入。</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10.基本支出：指为保障机构正常运转、完成日常工作任务而发生支出，包括人员经费和公用经费。</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11.项目支出：指在基本支出之外为完成特定行政任务和事业发展目标所发生的支出。</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12.人员经费：人员经费是指部门和单位“工资福利支出”和“对个人和家庭的补助”中属于基本支出内容的支出，包括基本工资、津贴补贴、奖金、机关事业单位养老保险缴费、其他社会保障缴费、住房公积金、其他工资福利支出、离退休费、生活补助等。</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13.公用经费：主要是指部门和单位“商品和服务支出”和“资本性支出”中属于基本支出内容的支出，包括办公费、水费、电费、邮电费、物业管理费、交通费、差旅费、日常维修(护)费、会议费、租赁费、招待费、培训费、福利费、工会经费、办公设备购置、其他商品和服务支出等。</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14.“三公”经费：包括因公出国（境）费、公务接待费、公务用车购置及运行维护费。其中，因公出国（境）费反映单位公务出国（境）的国际旅费、国外城市间交通费、住宿费、伙食费、培训费、公杂费等支出；公务用车购置及运行维护费反映单位公务用车车辆购置支出（含车辆购置税）、燃料费、维修费、过路过桥费、保险费、安全奖励费用等支出；公务接待费反映单位按规定开展的各类公务接待（含外宾接待）支出。</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15.机关（机构）运行经费，是指部门的公用经费，具体为保障部门运行用于购买货物和服务的各项资金，包括：办公费及印刷费、邮电费、差旅费、会议费、福利费、维修（护）费、专用材料费及一般设备购置费、办公用房水电费、取暖费、物业管理费、公务用车运行维护费、其他交通费用以及其他费用。</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16.支出功能分类科目：分为类、款、项，反映政府各项职能活动。</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17.支出经济分类科目:分为类、款，主要反映政府各项支出的经济性质和具体用途。</w:t>
      </w:r>
    </w:p>
    <w:p>
      <w:pPr>
        <w:keepNext w:val="0"/>
        <w:keepLines w:val="0"/>
        <w:widowControl w:val="0"/>
        <w:kinsoku/>
        <w:wordWrap/>
        <w:overflowPunct/>
        <w:topLinePunct w:val="0"/>
        <w:autoSpaceDE/>
        <w:autoSpaceDN/>
        <w:bidi w:val="0"/>
        <w:adjustRightInd/>
        <w:snapToGrid/>
        <w:spacing w:line="760" w:lineRule="exact"/>
        <w:ind w:firstLine="618" w:firstLineChars="200"/>
        <w:textAlignment w:val="auto"/>
        <w:rPr>
          <w:rFonts w:hint="eastAsia" w:ascii="黑体" w:hAnsi="黑体" w:eastAsia="黑体" w:cs="黑体"/>
          <w:color w:val="auto"/>
          <w:sz w:val="32"/>
          <w:szCs w:val="32"/>
          <w:highlight w:val="none"/>
        </w:rPr>
      </w:pPr>
      <w:bookmarkStart w:id="50" w:name="_Toc23641_WPSOffice_Level1"/>
      <w:r>
        <w:rPr>
          <w:rFonts w:hint="eastAsia" w:ascii="黑体" w:hAnsi="黑体" w:eastAsia="黑体" w:cs="黑体"/>
          <w:bCs/>
          <w:color w:val="auto"/>
          <w:sz w:val="32"/>
          <w:szCs w:val="32"/>
          <w:highlight w:val="none"/>
        </w:rPr>
        <w:t>五、</w:t>
      </w:r>
      <w:r>
        <w:rPr>
          <w:rFonts w:hint="eastAsia" w:ascii="黑体" w:hAnsi="黑体" w:eastAsia="黑体" w:cs="黑体"/>
          <w:bCs/>
          <w:color w:val="auto"/>
          <w:sz w:val="32"/>
          <w:szCs w:val="32"/>
          <w:highlight w:val="none"/>
          <w:lang w:eastAsia="zh-CN"/>
        </w:rPr>
        <w:t>2025</w:t>
      </w:r>
      <w:r>
        <w:rPr>
          <w:rFonts w:hint="eastAsia" w:ascii="黑体" w:hAnsi="黑体" w:eastAsia="黑体" w:cs="黑体"/>
          <w:bCs/>
          <w:color w:val="auto"/>
          <w:sz w:val="32"/>
          <w:szCs w:val="32"/>
          <w:highlight w:val="none"/>
        </w:rPr>
        <w:t>年部门预算公开表（附</w:t>
      </w:r>
      <w:r>
        <w:rPr>
          <w:rFonts w:hint="eastAsia" w:ascii="黑体" w:hAnsi="黑体" w:eastAsia="黑体" w:cs="黑体"/>
          <w:bCs/>
          <w:color w:val="auto"/>
          <w:sz w:val="32"/>
          <w:szCs w:val="32"/>
          <w:highlight w:val="none"/>
          <w:lang w:eastAsia="zh-CN"/>
        </w:rPr>
        <w:t>表</w:t>
      </w:r>
      <w:r>
        <w:rPr>
          <w:rFonts w:hint="eastAsia" w:ascii="黑体" w:hAnsi="黑体" w:eastAsia="黑体" w:cs="黑体"/>
          <w:bCs/>
          <w:color w:val="auto"/>
          <w:sz w:val="32"/>
          <w:szCs w:val="32"/>
          <w:highlight w:val="none"/>
        </w:rPr>
        <w:t>）</w:t>
      </w:r>
      <w:bookmarkEnd w:id="50"/>
    </w:p>
    <w:sectPr>
      <w:footerReference r:id="rId3" w:type="default"/>
      <w:footerReference r:id="rId4" w:type="even"/>
      <w:pgSz w:w="11906" w:h="16838"/>
      <w:pgMar w:top="2098" w:right="1587" w:bottom="1984" w:left="1587" w:header="851" w:footer="1587" w:gutter="0"/>
      <w:pgNumType w:fmt="decimal" w:start="1"/>
      <w:cols w:equalWidth="0" w:num="1">
        <w:col w:w="8306"/>
      </w:cols>
      <w:rtlGutter w:val="0"/>
      <w:docGrid w:type="linesAndChars" w:linePitch="289" w:charSpace="-23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-150495</wp:posOffset>
              </wp:positionV>
              <wp:extent cx="1828800" cy="28511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2851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firstLine="7280" w:firstLineChars="26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11.85pt;height:22.45pt;width:144pt;mso-position-horizontal:left;mso-position-horizontal-relative:margin;mso-wrap-style:none;z-index:251659264;mso-width-relative:page;mso-height-relative:page;" filled="f" stroked="f" coordsize="21600,21600" o:gfxdata="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pnywtcAAAAHAQAADwAAAAAAAAAB&#10;ACAAAAAiAAAAZHJzL2Rvd25yZXYueG1sUEsBAhQAFAAAAAgAh07iQNpUpRMRAgAABgQAAA4AAAAA&#10;AAAAAQAgAAAAJgEAAGRycy9lMm9Eb2MueG1sUEsFBgAAAAAGAAYAWQEAAKkFAAAAAA==&#10;">
              <v:fill on="f" focussize="0,0"/>
              <v:stroke on="f" weight="0.5pt"/>
              <v:imagedata o:title=""/>
              <o:lock v:ext="edit" aspectratio="f"/>
              <v:textbox inset="0mm,0mm,0mm,0mm">
                <w:txbxContent>
                  <w:p>
                    <w:pPr>
                      <w:pStyle w:val="5"/>
                      <w:ind w:firstLine="7280" w:firstLineChars="26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-111125</wp:posOffset>
              </wp:positionV>
              <wp:extent cx="1828800" cy="2444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244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8.75pt;height:19.25pt;width:144pt;mso-position-horizontal:left;mso-position-horizontal-relative:margin;mso-wrap-style:none;z-index:251660288;mso-width-relative:page;mso-height-relative:page;" filled="f" stroked="f" coordsize="21600,21600" o:gfxdata="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WGZtZNcAAAAHAQAADwAAAAAAAAAB&#10;ACAAAAAiAAAAZHJzL2Rvd25yZXYueG1sUEsBAhQAFAAAAAgAh07iQClkQbIRAgAABgQAAA4AAAAA&#10;AAAAAQAgAAAAJgEAAGRycy9lMm9Eb2MueG1sUEsFBgAAAAAGAAYAWQEAAKkFAAAAAA==&#10;">
              <v:fill on="f" focussize="0,0"/>
              <v:stroke on="f" weight="0.5pt"/>
              <v:imagedata o:title=""/>
              <o:lock v:ext="edit" aspectratio="f"/>
              <v:textbox inset="0mm,0mm,0mm,0mm">
                <w:txbxContent>
                  <w:p>
                    <w:pPr>
                      <w:pStyle w:val="5"/>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color w:val="FFFFFF" w:themeColor="background1"/>
                        <w:sz w:val="28"/>
                        <w:szCs w:val="28"/>
                        <w:lang w:eastAsia="zh-CN"/>
                        <w14:textFill>
                          <w14:solidFill>
                            <w14:schemeClr w14:val="bg1"/>
                          </w14:solidFill>
                        </w14:textFill>
                      </w:rPr>
                      <w:t>有</w:t>
                    </w: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evenAndOddHeaders w:val="1"/>
  <w:drawingGridHorizontalSpacing w:val="99"/>
  <w:drawingGridVerticalSpacing w:val="144"/>
  <w:displayHorizontalDrawingGridEvery w:val="2"/>
  <w:displayVerticalDrawingGridEvery w:val="2"/>
  <w:doNotUseMarginsForDrawingGridOrigin w:val="1"/>
  <w:drawingGridHorizontalOrigin w:val="1702"/>
  <w:drawingGridVerticalOrigin w:val="1985"/>
  <w:characterSpacingControl w:val="compressPunctuation"/>
  <w:compat>
    <w:spaceForUL/>
    <w:balanceSingleByteDoubleByteWidth/>
    <w:ulTrailSpace/>
    <w:doNotExpandShiftReturn/>
    <w:alignTablesRowByRow/>
    <w:adjustLineHeightInTable/>
    <w:doNotUseHTMLParagraphAutoSpacing/>
    <w:doNotWrapTextWithPunct/>
    <w:doNotUseEastAsianBreakRules/>
    <w:growAutofit/>
    <w:useFELayout/>
    <w:doNotUseIndentAsNumberingTabStop/>
    <w:useAltKinsokuLineBreakRules/>
    <w:splitPgBreakAndParaMark/>
    <w:compatSetting w:name="compatibilityMode" w:uri="http://schemas.microsoft.com/office/word" w:val="14"/>
  </w:compat>
  <w:docVars>
    <w:docVar w:name="commondata" w:val="eyJoZGlkIjoiN2Q2NGU0NzhjMDAzMTNhMDg5OGMzMWY0NmFiYzgxNDgifQ=="/>
  </w:docVars>
  <w:rsids>
    <w:rsidRoot w:val="00600AB7"/>
    <w:rsid w:val="0014153B"/>
    <w:rsid w:val="00174162"/>
    <w:rsid w:val="00174AD7"/>
    <w:rsid w:val="0021158C"/>
    <w:rsid w:val="00343E4A"/>
    <w:rsid w:val="003A6A1D"/>
    <w:rsid w:val="00406CAD"/>
    <w:rsid w:val="0041333F"/>
    <w:rsid w:val="00427881"/>
    <w:rsid w:val="004C5587"/>
    <w:rsid w:val="004D608D"/>
    <w:rsid w:val="0051586F"/>
    <w:rsid w:val="005E28E4"/>
    <w:rsid w:val="00600AB7"/>
    <w:rsid w:val="006E2DD9"/>
    <w:rsid w:val="006F470F"/>
    <w:rsid w:val="00706D5B"/>
    <w:rsid w:val="00930D22"/>
    <w:rsid w:val="009441E1"/>
    <w:rsid w:val="0098517C"/>
    <w:rsid w:val="00A14A00"/>
    <w:rsid w:val="00B97F1C"/>
    <w:rsid w:val="00BA7035"/>
    <w:rsid w:val="00BD2504"/>
    <w:rsid w:val="00C33BCC"/>
    <w:rsid w:val="00C507EB"/>
    <w:rsid w:val="00CA6509"/>
    <w:rsid w:val="00D01F7A"/>
    <w:rsid w:val="00E01EB7"/>
    <w:rsid w:val="00E079E9"/>
    <w:rsid w:val="00E8431E"/>
    <w:rsid w:val="00EC5D0D"/>
    <w:rsid w:val="00EF2137"/>
    <w:rsid w:val="00F64E4B"/>
    <w:rsid w:val="00F66BBA"/>
    <w:rsid w:val="015C44B3"/>
    <w:rsid w:val="017A64BE"/>
    <w:rsid w:val="019B0331"/>
    <w:rsid w:val="01A462DA"/>
    <w:rsid w:val="01B80B7A"/>
    <w:rsid w:val="01B86AE5"/>
    <w:rsid w:val="024906EB"/>
    <w:rsid w:val="03E10C5E"/>
    <w:rsid w:val="044D343E"/>
    <w:rsid w:val="048B4CCD"/>
    <w:rsid w:val="05057EB4"/>
    <w:rsid w:val="058E0BB0"/>
    <w:rsid w:val="05AD529D"/>
    <w:rsid w:val="05CD19D9"/>
    <w:rsid w:val="06244EB7"/>
    <w:rsid w:val="06452723"/>
    <w:rsid w:val="06760D48"/>
    <w:rsid w:val="06B45F2C"/>
    <w:rsid w:val="06DF53E3"/>
    <w:rsid w:val="081C6BDD"/>
    <w:rsid w:val="082A44F6"/>
    <w:rsid w:val="08701418"/>
    <w:rsid w:val="089A14F6"/>
    <w:rsid w:val="08BB3F46"/>
    <w:rsid w:val="09184A84"/>
    <w:rsid w:val="099E5107"/>
    <w:rsid w:val="0A2A2D1C"/>
    <w:rsid w:val="0A660254"/>
    <w:rsid w:val="0A690D26"/>
    <w:rsid w:val="0AAB06F4"/>
    <w:rsid w:val="0AF23873"/>
    <w:rsid w:val="0B426DA1"/>
    <w:rsid w:val="0B595D25"/>
    <w:rsid w:val="0C347FF3"/>
    <w:rsid w:val="0C820A4C"/>
    <w:rsid w:val="0CD90A9D"/>
    <w:rsid w:val="0CF3175F"/>
    <w:rsid w:val="0D012FBD"/>
    <w:rsid w:val="0D061AE1"/>
    <w:rsid w:val="0D233A80"/>
    <w:rsid w:val="0D371F8D"/>
    <w:rsid w:val="0DB4279E"/>
    <w:rsid w:val="0DDD1A34"/>
    <w:rsid w:val="0E144EFD"/>
    <w:rsid w:val="0E1E24E9"/>
    <w:rsid w:val="0ED13B00"/>
    <w:rsid w:val="0EEE5065"/>
    <w:rsid w:val="0F4D094A"/>
    <w:rsid w:val="103264C9"/>
    <w:rsid w:val="1083123A"/>
    <w:rsid w:val="11531700"/>
    <w:rsid w:val="11BD3FB4"/>
    <w:rsid w:val="11F56458"/>
    <w:rsid w:val="12065B6C"/>
    <w:rsid w:val="125308C6"/>
    <w:rsid w:val="125C468A"/>
    <w:rsid w:val="1271057B"/>
    <w:rsid w:val="129D55D9"/>
    <w:rsid w:val="12A51B84"/>
    <w:rsid w:val="13162E60"/>
    <w:rsid w:val="131F30E1"/>
    <w:rsid w:val="13CD2E74"/>
    <w:rsid w:val="14791D18"/>
    <w:rsid w:val="150114A2"/>
    <w:rsid w:val="15323379"/>
    <w:rsid w:val="15B620E3"/>
    <w:rsid w:val="15C40A2A"/>
    <w:rsid w:val="15D36A23"/>
    <w:rsid w:val="160F0897"/>
    <w:rsid w:val="168E1C0A"/>
    <w:rsid w:val="173F4C87"/>
    <w:rsid w:val="178D6395"/>
    <w:rsid w:val="17DA4839"/>
    <w:rsid w:val="18011381"/>
    <w:rsid w:val="181B5328"/>
    <w:rsid w:val="188C0EEC"/>
    <w:rsid w:val="188F2832"/>
    <w:rsid w:val="188F4509"/>
    <w:rsid w:val="18A07F16"/>
    <w:rsid w:val="194567B4"/>
    <w:rsid w:val="196A48CD"/>
    <w:rsid w:val="197F66BD"/>
    <w:rsid w:val="19902723"/>
    <w:rsid w:val="19C92BD5"/>
    <w:rsid w:val="1A256A45"/>
    <w:rsid w:val="1A535EC0"/>
    <w:rsid w:val="1A7060AA"/>
    <w:rsid w:val="1AA92A49"/>
    <w:rsid w:val="1AC21931"/>
    <w:rsid w:val="1AC951A6"/>
    <w:rsid w:val="1ACC4FDD"/>
    <w:rsid w:val="1ACF0CEA"/>
    <w:rsid w:val="1B2D021C"/>
    <w:rsid w:val="1B8F7455"/>
    <w:rsid w:val="1B93448A"/>
    <w:rsid w:val="1B980572"/>
    <w:rsid w:val="1BAD08D6"/>
    <w:rsid w:val="1BD75E53"/>
    <w:rsid w:val="1BEC7F24"/>
    <w:rsid w:val="1BEE4220"/>
    <w:rsid w:val="1C3A6C74"/>
    <w:rsid w:val="1C616EA1"/>
    <w:rsid w:val="1C9C290E"/>
    <w:rsid w:val="1CD27681"/>
    <w:rsid w:val="1D0373EB"/>
    <w:rsid w:val="1D9D14E3"/>
    <w:rsid w:val="1DC70A2E"/>
    <w:rsid w:val="1E39350A"/>
    <w:rsid w:val="1E453A77"/>
    <w:rsid w:val="1F506DE4"/>
    <w:rsid w:val="1FE40E25"/>
    <w:rsid w:val="205653B8"/>
    <w:rsid w:val="20B61559"/>
    <w:rsid w:val="20E16C4E"/>
    <w:rsid w:val="20F079EB"/>
    <w:rsid w:val="212975EF"/>
    <w:rsid w:val="21420122"/>
    <w:rsid w:val="21E25116"/>
    <w:rsid w:val="21E973A1"/>
    <w:rsid w:val="223C0FB9"/>
    <w:rsid w:val="224530B3"/>
    <w:rsid w:val="224B7E5F"/>
    <w:rsid w:val="226B76DE"/>
    <w:rsid w:val="228E2805"/>
    <w:rsid w:val="22CE3D23"/>
    <w:rsid w:val="22DC63E2"/>
    <w:rsid w:val="233224CF"/>
    <w:rsid w:val="23CA5F75"/>
    <w:rsid w:val="2404248F"/>
    <w:rsid w:val="24560B11"/>
    <w:rsid w:val="2478290F"/>
    <w:rsid w:val="249A14D4"/>
    <w:rsid w:val="25534320"/>
    <w:rsid w:val="25AB7A13"/>
    <w:rsid w:val="25C35512"/>
    <w:rsid w:val="26163E52"/>
    <w:rsid w:val="263B0190"/>
    <w:rsid w:val="263B2B0A"/>
    <w:rsid w:val="264C7D3E"/>
    <w:rsid w:val="265B486A"/>
    <w:rsid w:val="26AF4BF0"/>
    <w:rsid w:val="26BA49C0"/>
    <w:rsid w:val="27036F2E"/>
    <w:rsid w:val="27272BCD"/>
    <w:rsid w:val="276F11F3"/>
    <w:rsid w:val="27D22850"/>
    <w:rsid w:val="283D4D57"/>
    <w:rsid w:val="28694D70"/>
    <w:rsid w:val="28C16B31"/>
    <w:rsid w:val="28D2534C"/>
    <w:rsid w:val="28D90D6B"/>
    <w:rsid w:val="28F915C1"/>
    <w:rsid w:val="290B18A4"/>
    <w:rsid w:val="29831395"/>
    <w:rsid w:val="299F132A"/>
    <w:rsid w:val="2A176917"/>
    <w:rsid w:val="2A5242BA"/>
    <w:rsid w:val="2A534ADF"/>
    <w:rsid w:val="2A766026"/>
    <w:rsid w:val="2A845212"/>
    <w:rsid w:val="2A8840FF"/>
    <w:rsid w:val="2A936683"/>
    <w:rsid w:val="2A990097"/>
    <w:rsid w:val="2ADA78FE"/>
    <w:rsid w:val="2ADF3A0C"/>
    <w:rsid w:val="2B1C248B"/>
    <w:rsid w:val="2B6335F6"/>
    <w:rsid w:val="2B6E0F7D"/>
    <w:rsid w:val="2B950B10"/>
    <w:rsid w:val="2BAC691D"/>
    <w:rsid w:val="2BB745D7"/>
    <w:rsid w:val="2BBC200F"/>
    <w:rsid w:val="2BCE7FDF"/>
    <w:rsid w:val="2BEA1433"/>
    <w:rsid w:val="2C35443F"/>
    <w:rsid w:val="2C40682D"/>
    <w:rsid w:val="2C673D07"/>
    <w:rsid w:val="2C7653DA"/>
    <w:rsid w:val="2C93195A"/>
    <w:rsid w:val="2CC649C1"/>
    <w:rsid w:val="2CD8552C"/>
    <w:rsid w:val="2D574323"/>
    <w:rsid w:val="2DDE392D"/>
    <w:rsid w:val="2DF038D1"/>
    <w:rsid w:val="2DFC27F2"/>
    <w:rsid w:val="2DFD5547"/>
    <w:rsid w:val="2E3D106A"/>
    <w:rsid w:val="2E401413"/>
    <w:rsid w:val="2E405189"/>
    <w:rsid w:val="2E9D1940"/>
    <w:rsid w:val="2EDD2D86"/>
    <w:rsid w:val="2F05288A"/>
    <w:rsid w:val="2F4E6856"/>
    <w:rsid w:val="2F644E9F"/>
    <w:rsid w:val="2F953942"/>
    <w:rsid w:val="2FD57720"/>
    <w:rsid w:val="2FDC17D2"/>
    <w:rsid w:val="30303F89"/>
    <w:rsid w:val="30F74699"/>
    <w:rsid w:val="30F87C0A"/>
    <w:rsid w:val="3167082E"/>
    <w:rsid w:val="31D4754B"/>
    <w:rsid w:val="326E42D3"/>
    <w:rsid w:val="32CB0794"/>
    <w:rsid w:val="3300669F"/>
    <w:rsid w:val="331F3CB2"/>
    <w:rsid w:val="339251AE"/>
    <w:rsid w:val="33D602E0"/>
    <w:rsid w:val="33EB5316"/>
    <w:rsid w:val="340A4D0B"/>
    <w:rsid w:val="34117516"/>
    <w:rsid w:val="341713AC"/>
    <w:rsid w:val="3431735D"/>
    <w:rsid w:val="343D7E6D"/>
    <w:rsid w:val="347315FC"/>
    <w:rsid w:val="34AC6A5F"/>
    <w:rsid w:val="34D460EE"/>
    <w:rsid w:val="35090A17"/>
    <w:rsid w:val="351E616D"/>
    <w:rsid w:val="354649AB"/>
    <w:rsid w:val="354A1D9B"/>
    <w:rsid w:val="355F534F"/>
    <w:rsid w:val="35E418E1"/>
    <w:rsid w:val="35E76DC2"/>
    <w:rsid w:val="36D67942"/>
    <w:rsid w:val="37430F66"/>
    <w:rsid w:val="37615EB9"/>
    <w:rsid w:val="37AA3256"/>
    <w:rsid w:val="383A508F"/>
    <w:rsid w:val="387C6100"/>
    <w:rsid w:val="388A54E9"/>
    <w:rsid w:val="391A1EB3"/>
    <w:rsid w:val="392927B9"/>
    <w:rsid w:val="39412B1C"/>
    <w:rsid w:val="39474EBD"/>
    <w:rsid w:val="39742B91"/>
    <w:rsid w:val="39C208C9"/>
    <w:rsid w:val="39ED2957"/>
    <w:rsid w:val="39FF01E4"/>
    <w:rsid w:val="3AC124F4"/>
    <w:rsid w:val="3AE44507"/>
    <w:rsid w:val="3B3852C2"/>
    <w:rsid w:val="3B4429B9"/>
    <w:rsid w:val="3B5275FB"/>
    <w:rsid w:val="3B5E370B"/>
    <w:rsid w:val="3B7258E2"/>
    <w:rsid w:val="3BDB4D6A"/>
    <w:rsid w:val="3C066E78"/>
    <w:rsid w:val="3C2F0DAF"/>
    <w:rsid w:val="3C35283F"/>
    <w:rsid w:val="3C9D069E"/>
    <w:rsid w:val="3CFF6AD2"/>
    <w:rsid w:val="3D142372"/>
    <w:rsid w:val="3D32083E"/>
    <w:rsid w:val="3D3B56F0"/>
    <w:rsid w:val="3D527798"/>
    <w:rsid w:val="3D7A14EE"/>
    <w:rsid w:val="3D89479D"/>
    <w:rsid w:val="3E0B5319"/>
    <w:rsid w:val="3E412648"/>
    <w:rsid w:val="3E46243F"/>
    <w:rsid w:val="3EB666A7"/>
    <w:rsid w:val="3EB93B26"/>
    <w:rsid w:val="3EE36836"/>
    <w:rsid w:val="3F1F5A17"/>
    <w:rsid w:val="3F23205D"/>
    <w:rsid w:val="3F462CE4"/>
    <w:rsid w:val="3F6E0B8E"/>
    <w:rsid w:val="3FA26216"/>
    <w:rsid w:val="3FA954A8"/>
    <w:rsid w:val="40154D98"/>
    <w:rsid w:val="407F1C85"/>
    <w:rsid w:val="40921669"/>
    <w:rsid w:val="40EE6EEC"/>
    <w:rsid w:val="417A3E03"/>
    <w:rsid w:val="418D4003"/>
    <w:rsid w:val="41DA7634"/>
    <w:rsid w:val="41FC680C"/>
    <w:rsid w:val="42633CBA"/>
    <w:rsid w:val="42704FAF"/>
    <w:rsid w:val="42BB2649"/>
    <w:rsid w:val="42D52437"/>
    <w:rsid w:val="430172F0"/>
    <w:rsid w:val="430B6887"/>
    <w:rsid w:val="438B60BD"/>
    <w:rsid w:val="438F6F73"/>
    <w:rsid w:val="439E203F"/>
    <w:rsid w:val="43D80B3F"/>
    <w:rsid w:val="43E67120"/>
    <w:rsid w:val="445D2710"/>
    <w:rsid w:val="448B2625"/>
    <w:rsid w:val="44FD1AF8"/>
    <w:rsid w:val="45015583"/>
    <w:rsid w:val="455A2199"/>
    <w:rsid w:val="456B61BB"/>
    <w:rsid w:val="46160E9A"/>
    <w:rsid w:val="46412D53"/>
    <w:rsid w:val="464A62EB"/>
    <w:rsid w:val="46677B6C"/>
    <w:rsid w:val="46824BFC"/>
    <w:rsid w:val="46CB5FCB"/>
    <w:rsid w:val="472F776D"/>
    <w:rsid w:val="4749222F"/>
    <w:rsid w:val="47504D30"/>
    <w:rsid w:val="47F33B22"/>
    <w:rsid w:val="48820DFC"/>
    <w:rsid w:val="48BD742B"/>
    <w:rsid w:val="48F0123A"/>
    <w:rsid w:val="497E1B39"/>
    <w:rsid w:val="4A16249F"/>
    <w:rsid w:val="4A7F396B"/>
    <w:rsid w:val="4ADA29BA"/>
    <w:rsid w:val="4AEA49AC"/>
    <w:rsid w:val="4B1B4BDE"/>
    <w:rsid w:val="4B5749B0"/>
    <w:rsid w:val="4B6D32FF"/>
    <w:rsid w:val="4C380D83"/>
    <w:rsid w:val="4C692139"/>
    <w:rsid w:val="4C71131E"/>
    <w:rsid w:val="4CB372DB"/>
    <w:rsid w:val="4CE3517C"/>
    <w:rsid w:val="4D5E5F33"/>
    <w:rsid w:val="4D757281"/>
    <w:rsid w:val="4E0542F2"/>
    <w:rsid w:val="4E2B1832"/>
    <w:rsid w:val="4E9C1A4F"/>
    <w:rsid w:val="4E9C2162"/>
    <w:rsid w:val="4EA37040"/>
    <w:rsid w:val="4EF20C18"/>
    <w:rsid w:val="4F3A65AB"/>
    <w:rsid w:val="4FC05487"/>
    <w:rsid w:val="4FC80CFA"/>
    <w:rsid w:val="4FEF3FDC"/>
    <w:rsid w:val="507767B3"/>
    <w:rsid w:val="50807B8F"/>
    <w:rsid w:val="50A33CA1"/>
    <w:rsid w:val="50EA1D2A"/>
    <w:rsid w:val="51B769C2"/>
    <w:rsid w:val="525173E0"/>
    <w:rsid w:val="52585A25"/>
    <w:rsid w:val="527B13B7"/>
    <w:rsid w:val="52B96008"/>
    <w:rsid w:val="52D256A6"/>
    <w:rsid w:val="535015C7"/>
    <w:rsid w:val="536C0F29"/>
    <w:rsid w:val="536C6E69"/>
    <w:rsid w:val="5390313D"/>
    <w:rsid w:val="53C45B29"/>
    <w:rsid w:val="540B1DF7"/>
    <w:rsid w:val="542A7AA4"/>
    <w:rsid w:val="546F7901"/>
    <w:rsid w:val="54867038"/>
    <w:rsid w:val="549379F7"/>
    <w:rsid w:val="54A1700B"/>
    <w:rsid w:val="54BB49CA"/>
    <w:rsid w:val="54DD2688"/>
    <w:rsid w:val="54DD6287"/>
    <w:rsid w:val="54E46EC4"/>
    <w:rsid w:val="5516125F"/>
    <w:rsid w:val="55165C85"/>
    <w:rsid w:val="55481EE5"/>
    <w:rsid w:val="56227BDC"/>
    <w:rsid w:val="56383718"/>
    <w:rsid w:val="56602390"/>
    <w:rsid w:val="566E4F61"/>
    <w:rsid w:val="567F7F2E"/>
    <w:rsid w:val="56AD1699"/>
    <w:rsid w:val="56C86FEC"/>
    <w:rsid w:val="57123FDC"/>
    <w:rsid w:val="572144C8"/>
    <w:rsid w:val="57AE4111"/>
    <w:rsid w:val="57BB1AEF"/>
    <w:rsid w:val="57FE2EB5"/>
    <w:rsid w:val="58A8281B"/>
    <w:rsid w:val="58D87D6C"/>
    <w:rsid w:val="5968741C"/>
    <w:rsid w:val="59860A2F"/>
    <w:rsid w:val="599E6FBF"/>
    <w:rsid w:val="59A26A76"/>
    <w:rsid w:val="59B50C4C"/>
    <w:rsid w:val="59E83BDF"/>
    <w:rsid w:val="5A4A1DCB"/>
    <w:rsid w:val="5A4F1163"/>
    <w:rsid w:val="5A6E0C9F"/>
    <w:rsid w:val="5ACF6F8D"/>
    <w:rsid w:val="5ADD63CB"/>
    <w:rsid w:val="5B160421"/>
    <w:rsid w:val="5B1D7908"/>
    <w:rsid w:val="5B4E1D7F"/>
    <w:rsid w:val="5B594BBA"/>
    <w:rsid w:val="5B6A225E"/>
    <w:rsid w:val="5BC34E8D"/>
    <w:rsid w:val="5C0B5496"/>
    <w:rsid w:val="5C2727D3"/>
    <w:rsid w:val="5C3E0408"/>
    <w:rsid w:val="5C9556D9"/>
    <w:rsid w:val="5C980D3B"/>
    <w:rsid w:val="5CA2584F"/>
    <w:rsid w:val="5CF86C38"/>
    <w:rsid w:val="5D2D79DE"/>
    <w:rsid w:val="5D671A23"/>
    <w:rsid w:val="5D6768F9"/>
    <w:rsid w:val="5D9A642F"/>
    <w:rsid w:val="5DB61A89"/>
    <w:rsid w:val="5E237D00"/>
    <w:rsid w:val="5E3A195D"/>
    <w:rsid w:val="5EC15D06"/>
    <w:rsid w:val="5F533B53"/>
    <w:rsid w:val="5F976543"/>
    <w:rsid w:val="5FCF5DB3"/>
    <w:rsid w:val="5FEA28F4"/>
    <w:rsid w:val="600E576C"/>
    <w:rsid w:val="603F4772"/>
    <w:rsid w:val="60914CCA"/>
    <w:rsid w:val="60AE1AFD"/>
    <w:rsid w:val="60B957E4"/>
    <w:rsid w:val="612E4C37"/>
    <w:rsid w:val="61AE1AD8"/>
    <w:rsid w:val="61F24670"/>
    <w:rsid w:val="621004B9"/>
    <w:rsid w:val="6245436F"/>
    <w:rsid w:val="62CC3E75"/>
    <w:rsid w:val="641C29D4"/>
    <w:rsid w:val="647F27B6"/>
    <w:rsid w:val="64D32BC5"/>
    <w:rsid w:val="64DF2C0C"/>
    <w:rsid w:val="65FD0D9C"/>
    <w:rsid w:val="66362990"/>
    <w:rsid w:val="667157A6"/>
    <w:rsid w:val="66A37243"/>
    <w:rsid w:val="66AD0A9A"/>
    <w:rsid w:val="66EA3392"/>
    <w:rsid w:val="678D79DF"/>
    <w:rsid w:val="67BA5E3C"/>
    <w:rsid w:val="67D72F0F"/>
    <w:rsid w:val="68092A83"/>
    <w:rsid w:val="68345018"/>
    <w:rsid w:val="6898301A"/>
    <w:rsid w:val="68AA0729"/>
    <w:rsid w:val="69500D4D"/>
    <w:rsid w:val="697F71D7"/>
    <w:rsid w:val="698D107A"/>
    <w:rsid w:val="69934C07"/>
    <w:rsid w:val="69A57E78"/>
    <w:rsid w:val="69DD6DB4"/>
    <w:rsid w:val="69F10584"/>
    <w:rsid w:val="6A440A7E"/>
    <w:rsid w:val="6AC11157"/>
    <w:rsid w:val="6AF102DC"/>
    <w:rsid w:val="6B72725F"/>
    <w:rsid w:val="6B8D0E27"/>
    <w:rsid w:val="6B8F1E5B"/>
    <w:rsid w:val="6BBC3F1B"/>
    <w:rsid w:val="6C540744"/>
    <w:rsid w:val="6C5E7517"/>
    <w:rsid w:val="6C792C63"/>
    <w:rsid w:val="6C793997"/>
    <w:rsid w:val="6C877FB2"/>
    <w:rsid w:val="6CE36B31"/>
    <w:rsid w:val="6D0D3798"/>
    <w:rsid w:val="6D235139"/>
    <w:rsid w:val="6D2E41C2"/>
    <w:rsid w:val="6D520771"/>
    <w:rsid w:val="6D685166"/>
    <w:rsid w:val="6E4D5D69"/>
    <w:rsid w:val="6E702150"/>
    <w:rsid w:val="6ED028B6"/>
    <w:rsid w:val="6F5808D0"/>
    <w:rsid w:val="6F5E1C3E"/>
    <w:rsid w:val="6F7142E5"/>
    <w:rsid w:val="70211E5D"/>
    <w:rsid w:val="704A391C"/>
    <w:rsid w:val="70995F89"/>
    <w:rsid w:val="7127203B"/>
    <w:rsid w:val="713F4D9B"/>
    <w:rsid w:val="71E6760A"/>
    <w:rsid w:val="71F7798D"/>
    <w:rsid w:val="729D002C"/>
    <w:rsid w:val="72BE43E5"/>
    <w:rsid w:val="72D55117"/>
    <w:rsid w:val="732F60EA"/>
    <w:rsid w:val="73601AA0"/>
    <w:rsid w:val="736851EA"/>
    <w:rsid w:val="74097449"/>
    <w:rsid w:val="746E2BD7"/>
    <w:rsid w:val="74C42D12"/>
    <w:rsid w:val="74FC4FB2"/>
    <w:rsid w:val="75262F67"/>
    <w:rsid w:val="753D68E3"/>
    <w:rsid w:val="75BD6BB2"/>
    <w:rsid w:val="761C7661"/>
    <w:rsid w:val="767A68A9"/>
    <w:rsid w:val="76AA2F8D"/>
    <w:rsid w:val="76B50608"/>
    <w:rsid w:val="770E5F4C"/>
    <w:rsid w:val="773F6D7E"/>
    <w:rsid w:val="77437B63"/>
    <w:rsid w:val="7789391A"/>
    <w:rsid w:val="783E1927"/>
    <w:rsid w:val="78872F62"/>
    <w:rsid w:val="78B82080"/>
    <w:rsid w:val="78E032C5"/>
    <w:rsid w:val="790F25CE"/>
    <w:rsid w:val="791F1287"/>
    <w:rsid w:val="7927511C"/>
    <w:rsid w:val="79633927"/>
    <w:rsid w:val="79B62F0A"/>
    <w:rsid w:val="79CB2F49"/>
    <w:rsid w:val="79E068D3"/>
    <w:rsid w:val="7A0D116A"/>
    <w:rsid w:val="7A137ED4"/>
    <w:rsid w:val="7A1E09D9"/>
    <w:rsid w:val="7A2040EC"/>
    <w:rsid w:val="7A331B6A"/>
    <w:rsid w:val="7A356FA7"/>
    <w:rsid w:val="7A6B5763"/>
    <w:rsid w:val="7A8B470C"/>
    <w:rsid w:val="7A9E7974"/>
    <w:rsid w:val="7B817A31"/>
    <w:rsid w:val="7B926E8F"/>
    <w:rsid w:val="7BC03D43"/>
    <w:rsid w:val="7BEE0CC5"/>
    <w:rsid w:val="7C501984"/>
    <w:rsid w:val="7C8F2E2A"/>
    <w:rsid w:val="7CA66FDF"/>
    <w:rsid w:val="7D43468F"/>
    <w:rsid w:val="7D862B7F"/>
    <w:rsid w:val="7D8739F6"/>
    <w:rsid w:val="7D9C27B2"/>
    <w:rsid w:val="7DD066E4"/>
    <w:rsid w:val="7DF33A26"/>
    <w:rsid w:val="7E850F44"/>
    <w:rsid w:val="7EAE2964"/>
    <w:rsid w:val="7F1109B6"/>
    <w:rsid w:val="7F5C6269"/>
    <w:rsid w:val="7F9210A9"/>
    <w:rsid w:val="7F997830"/>
    <w:rsid w:val="7FF2106E"/>
    <w:rsid w:val="7FF33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qFormat/>
    <w:uiPriority w:val="9"/>
    <w:pPr>
      <w:spacing w:before="100" w:beforeAutospacing="1" w:after="100" w:afterAutospacing="1"/>
      <w:jc w:val="left"/>
      <w:outlineLvl w:val="3"/>
    </w:pPr>
    <w:rPr>
      <w:rFonts w:hint="eastAsia" w:ascii="宋体" w:hAnsi="宋体"/>
      <w:b/>
      <w:kern w:val="0"/>
      <w:sz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200" w:leftChars="200"/>
    </w:pPr>
  </w:style>
  <w:style w:type="paragraph" w:styleId="4">
    <w:name w:val="Body Text"/>
    <w:basedOn w:val="1"/>
    <w:next w:val="5"/>
    <w:qFormat/>
    <w:uiPriority w:val="0"/>
    <w:pPr>
      <w:snapToGrid w:val="0"/>
      <w:spacing w:line="579" w:lineRule="exact"/>
    </w:pPr>
    <w:rPr>
      <w:rFonts w:eastAsia="仿宋_GB2312"/>
      <w:sz w:val="32"/>
      <w:szCs w:val="20"/>
    </w:rPr>
  </w:style>
  <w:style w:type="paragraph" w:styleId="5">
    <w:name w:val="footer"/>
    <w:basedOn w:val="1"/>
    <w:next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9">
    <w:name w:val="列出段落1"/>
    <w:basedOn w:val="1"/>
    <w:qFormat/>
    <w:uiPriority w:val="0"/>
    <w:pPr>
      <w:ind w:firstLine="200" w:firstLineChars="200"/>
    </w:pPr>
  </w:style>
  <w:style w:type="character" w:customStyle="1" w:styleId="10">
    <w:name w:val="font31"/>
    <w:basedOn w:val="8"/>
    <w:qFormat/>
    <w:uiPriority w:val="0"/>
    <w:rPr>
      <w:rFonts w:ascii="黑体" w:hAnsi="宋体" w:eastAsia="黑体" w:cs="黑体"/>
      <w:color w:val="000000"/>
      <w:sz w:val="40"/>
      <w:szCs w:val="40"/>
      <w:u w:val="none"/>
    </w:rPr>
  </w:style>
  <w:style w:type="character" w:customStyle="1" w:styleId="11">
    <w:name w:val="font21"/>
    <w:basedOn w:val="8"/>
    <w:qFormat/>
    <w:uiPriority w:val="0"/>
    <w:rPr>
      <w:rFonts w:hint="eastAsia" w:ascii="宋体" w:hAnsi="宋体" w:eastAsia="宋体" w:cs="宋体"/>
      <w:b/>
      <w:color w:val="000000"/>
      <w:sz w:val="32"/>
      <w:szCs w:val="32"/>
      <w:u w:val="none"/>
    </w:rPr>
  </w:style>
  <w:style w:type="character" w:customStyle="1" w:styleId="12">
    <w:name w:val="font81"/>
    <w:basedOn w:val="8"/>
    <w:qFormat/>
    <w:uiPriority w:val="0"/>
    <w:rPr>
      <w:rFonts w:ascii="黑体" w:hAnsi="宋体" w:eastAsia="黑体" w:cs="黑体"/>
      <w:color w:val="000000"/>
      <w:sz w:val="40"/>
      <w:szCs w:val="40"/>
      <w:u w:val="none"/>
    </w:rPr>
  </w:style>
  <w:style w:type="character" w:customStyle="1" w:styleId="13">
    <w:name w:val="font11"/>
    <w:basedOn w:val="8"/>
    <w:qFormat/>
    <w:uiPriority w:val="0"/>
    <w:rPr>
      <w:rFonts w:ascii="黑体" w:hAnsi="宋体" w:eastAsia="黑体" w:cs="黑体"/>
      <w:color w:val="000000"/>
      <w:sz w:val="36"/>
      <w:szCs w:val="36"/>
      <w:u w:val="none"/>
    </w:rPr>
  </w:style>
  <w:style w:type="character" w:customStyle="1" w:styleId="14">
    <w:name w:val="font41"/>
    <w:basedOn w:val="8"/>
    <w:qFormat/>
    <w:uiPriority w:val="0"/>
    <w:rPr>
      <w:rFonts w:ascii="黑体" w:hAnsi="宋体" w:eastAsia="黑体" w:cs="黑体"/>
      <w:color w:val="000000"/>
      <w:sz w:val="36"/>
      <w:szCs w:val="36"/>
      <w:u w:val="none"/>
    </w:rPr>
  </w:style>
  <w:style w:type="character" w:customStyle="1" w:styleId="15">
    <w:name w:val="font112"/>
    <w:basedOn w:val="8"/>
    <w:qFormat/>
    <w:uiPriority w:val="0"/>
    <w:rPr>
      <w:rFonts w:hint="default" w:ascii="Times New Roman" w:hAnsi="Times New Roman" w:cs="Times New Roman"/>
      <w:color w:val="000000"/>
      <w:sz w:val="24"/>
      <w:szCs w:val="24"/>
      <w:u w:val="none"/>
    </w:rPr>
  </w:style>
  <w:style w:type="paragraph" w:customStyle="1" w:styleId="16">
    <w:name w:val="WPSOffice手动目录 1"/>
    <w:qFormat/>
    <w:uiPriority w:val="0"/>
    <w:pPr>
      <w:ind w:leftChars="0"/>
    </w:pPr>
    <w:rPr>
      <w:rFonts w:asciiTheme="minorHAnsi" w:hAnsiTheme="minorHAnsi" w:eastAsiaTheme="minorEastAsia" w:cstheme="minorBidi"/>
      <w:sz w:val="20"/>
      <w:szCs w:val="20"/>
    </w:rPr>
  </w:style>
  <w:style w:type="paragraph" w:customStyle="1" w:styleId="17">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cc3f5c8-7f71-456e-9416-0fed207edcd3}"/>
        <w:style w:val=""/>
        <w:category>
          <w:name w:val="常规"/>
          <w:gallery w:val="placeholder"/>
        </w:category>
        <w:types>
          <w:type w:val="bbPlcHdr"/>
        </w:types>
        <w:behaviors>
          <w:behavior w:val="content"/>
        </w:behaviors>
        <w:description w:val=""/>
        <w:guid w:val="{4cc3f5c8-7f71-456e-9416-0fed207edcd3}"/>
      </w:docPartPr>
      <w:docPartBody>
        <w:p>
          <w:r>
            <w:rPr>
              <w:color w:val="808080"/>
            </w:rPr>
            <w:t>单击此处输入文字。</w:t>
          </w:r>
        </w:p>
      </w:docPartBody>
    </w:docPart>
    <w:docPart>
      <w:docPartPr>
        <w:name w:val="{e737bdd4-74df-40ec-b935-0833342914a6}"/>
        <w:style w:val=""/>
        <w:category>
          <w:name w:val="常规"/>
          <w:gallery w:val="placeholder"/>
        </w:category>
        <w:types>
          <w:type w:val="bbPlcHdr"/>
        </w:types>
        <w:behaviors>
          <w:behavior w:val="content"/>
        </w:behaviors>
        <w:description w:val=""/>
        <w:guid w:val="{e737bdd4-74df-40ec-b935-0833342914a6}"/>
      </w:docPartPr>
      <w:docPartBody>
        <w:p>
          <w:r>
            <w:rPr>
              <w:color w:val="808080"/>
            </w:rPr>
            <w:t>单击此处输入文字。</w:t>
          </w:r>
        </w:p>
      </w:docPartBody>
    </w:docPart>
    <w:docPart>
      <w:docPartPr>
        <w:name w:val="{cf98847a-29ea-4e3b-ad43-8adcc6a14553}"/>
        <w:style w:val=""/>
        <w:category>
          <w:name w:val="常规"/>
          <w:gallery w:val="placeholder"/>
        </w:category>
        <w:types>
          <w:type w:val="bbPlcHdr"/>
        </w:types>
        <w:behaviors>
          <w:behavior w:val="content"/>
        </w:behaviors>
        <w:description w:val=""/>
        <w:guid w:val="{cf98847a-29ea-4e3b-ad43-8adcc6a14553}"/>
      </w:docPartPr>
      <w:docPartBody>
        <w:p>
          <w:r>
            <w:rPr>
              <w:color w:val="808080"/>
            </w:rPr>
            <w:t>单击此处输入文字。</w:t>
          </w:r>
        </w:p>
      </w:docPartBody>
    </w:docPart>
    <w:docPart>
      <w:docPartPr>
        <w:name w:val="{4d221aca-11c5-42cd-bb20-ec5ac27e1d7b}"/>
        <w:style w:val=""/>
        <w:category>
          <w:name w:val="常规"/>
          <w:gallery w:val="placeholder"/>
        </w:category>
        <w:types>
          <w:type w:val="bbPlcHdr"/>
        </w:types>
        <w:behaviors>
          <w:behavior w:val="content"/>
        </w:behaviors>
        <w:description w:val=""/>
        <w:guid w:val="{4d221aca-11c5-42cd-bb20-ec5ac27e1d7b}"/>
      </w:docPartPr>
      <w:docPartBody>
        <w:p>
          <w:r>
            <w:rPr>
              <w:color w:val="808080"/>
            </w:rPr>
            <w:t>单击此处输入文字。</w:t>
          </w:r>
        </w:p>
      </w:docPartBody>
    </w:docPart>
    <w:docPart>
      <w:docPartPr>
        <w:name w:val="{8d9caba8-e915-44a0-8da9-b524aa2e8e01}"/>
        <w:style w:val=""/>
        <w:category>
          <w:name w:val="常规"/>
          <w:gallery w:val="placeholder"/>
        </w:category>
        <w:types>
          <w:type w:val="bbPlcHdr"/>
        </w:types>
        <w:behaviors>
          <w:behavior w:val="content"/>
        </w:behaviors>
        <w:description w:val=""/>
        <w:guid w:val="{8d9caba8-e915-44a0-8da9-b524aa2e8e01}"/>
      </w:docPartPr>
      <w:docPartBody>
        <w:p>
          <w:r>
            <w:rPr>
              <w:color w:val="808080"/>
            </w:rPr>
            <w:t>单击此处输入文字。</w:t>
          </w:r>
        </w:p>
      </w:docPartBody>
    </w:docPart>
    <w:docPart>
      <w:docPartPr>
        <w:name w:val="{87d95b1c-df9e-4387-bd36-736b291b6328}"/>
        <w:style w:val=""/>
        <w:category>
          <w:name w:val="常规"/>
          <w:gallery w:val="placeholder"/>
        </w:category>
        <w:types>
          <w:type w:val="bbPlcHdr"/>
        </w:types>
        <w:behaviors>
          <w:behavior w:val="content"/>
        </w:behaviors>
        <w:description w:val=""/>
        <w:guid w:val="{87d95b1c-df9e-4387-bd36-736b291b6328}"/>
      </w:docPartPr>
      <w:docPartBody>
        <w:p>
          <w:r>
            <w:rPr>
              <w:color w:val="808080"/>
            </w:rPr>
            <w:t>单击此处输入文字。</w:t>
          </w:r>
        </w:p>
      </w:docPartBody>
    </w:docPart>
    <w:docPart>
      <w:docPartPr>
        <w:name w:val="{b58bb233-59e8-4f2f-8715-d96534589ba1}"/>
        <w:style w:val=""/>
        <w:category>
          <w:name w:val="常规"/>
          <w:gallery w:val="placeholder"/>
        </w:category>
        <w:types>
          <w:type w:val="bbPlcHdr"/>
        </w:types>
        <w:behaviors>
          <w:behavior w:val="content"/>
        </w:behaviors>
        <w:description w:val=""/>
        <w:guid w:val="{b58bb233-59e8-4f2f-8715-d96534589ba1}"/>
      </w:docPartPr>
      <w:docPartBody>
        <w:p>
          <w:r>
            <w:rPr>
              <w:color w:val="808080"/>
            </w:rPr>
            <w:t>单击此处输入文字。</w:t>
          </w:r>
        </w:p>
      </w:docPartBody>
    </w:docPart>
    <w:docPart>
      <w:docPartPr>
        <w:name w:val="{4fefc3b4-2d50-4338-a1a8-4889dcc4b521}"/>
        <w:style w:val=""/>
        <w:category>
          <w:name w:val="常规"/>
          <w:gallery w:val="placeholder"/>
        </w:category>
        <w:types>
          <w:type w:val="bbPlcHdr"/>
        </w:types>
        <w:behaviors>
          <w:behavior w:val="content"/>
        </w:behaviors>
        <w:description w:val=""/>
        <w:guid w:val="{4fefc3b4-2d50-4338-a1a8-4889dcc4b521}"/>
      </w:docPartPr>
      <w:docPartBody>
        <w:p>
          <w:r>
            <w:rPr>
              <w:color w:val="808080"/>
            </w:rPr>
            <w:t>单击此处输入文字。</w:t>
          </w:r>
        </w:p>
      </w:docPartBody>
    </w:docPart>
    <w:docPart>
      <w:docPartPr>
        <w:name w:val="{4a89f48d-a47d-46ec-ab56-5bbb88a96d16}"/>
        <w:style w:val=""/>
        <w:category>
          <w:name w:val="常规"/>
          <w:gallery w:val="placeholder"/>
        </w:category>
        <w:types>
          <w:type w:val="bbPlcHdr"/>
        </w:types>
        <w:behaviors>
          <w:behavior w:val="content"/>
        </w:behaviors>
        <w:description w:val=""/>
        <w:guid w:val="{4a89f48d-a47d-46ec-ab56-5bbb88a96d16}"/>
      </w:docPartPr>
      <w:docPartBody>
        <w:p>
          <w:r>
            <w:rPr>
              <w:color w:val="808080"/>
            </w:rPr>
            <w:t>单击此处输入文字。</w:t>
          </w:r>
        </w:p>
      </w:docPartBody>
    </w:docPart>
    <w:docPart>
      <w:docPartPr>
        <w:name w:val="{423cd953-7b32-4632-ba3b-c712a62b8916}"/>
        <w:style w:val=""/>
        <w:category>
          <w:name w:val="常规"/>
          <w:gallery w:val="placeholder"/>
        </w:category>
        <w:types>
          <w:type w:val="bbPlcHdr"/>
        </w:types>
        <w:behaviors>
          <w:behavior w:val="content"/>
        </w:behaviors>
        <w:description w:val=""/>
        <w:guid w:val="{423cd953-7b32-4632-ba3b-c712a62b8916}"/>
      </w:docPartPr>
      <w:docPartBody>
        <w:p>
          <w:r>
            <w:rPr>
              <w:color w:val="808080"/>
            </w:rPr>
            <w:t>单击此处输入文字。</w:t>
          </w:r>
        </w:p>
      </w:docPartBody>
    </w:docPart>
    <w:docPart>
      <w:docPartPr>
        <w:name w:val="{9a26e859-b3ee-42b5-a43c-5bd223720203}"/>
        <w:style w:val=""/>
        <w:category>
          <w:name w:val="常规"/>
          <w:gallery w:val="placeholder"/>
        </w:category>
        <w:types>
          <w:type w:val="bbPlcHdr"/>
        </w:types>
        <w:behaviors>
          <w:behavior w:val="content"/>
        </w:behaviors>
        <w:description w:val=""/>
        <w:guid w:val="{9a26e859-b3ee-42b5-a43c-5bd223720203}"/>
      </w:docPartPr>
      <w:docPartBody>
        <w:p>
          <w:r>
            <w:rPr>
              <w:color w:val="808080"/>
            </w:rPr>
            <w:t>单击此处输入文字。</w:t>
          </w:r>
        </w:p>
      </w:docPartBody>
    </w:docPart>
    <w:docPart>
      <w:docPartPr>
        <w:name w:val="{b3b3f46e-b807-436c-ad91-c9842ebfee70}"/>
        <w:style w:val=""/>
        <w:category>
          <w:name w:val="常规"/>
          <w:gallery w:val="placeholder"/>
        </w:category>
        <w:types>
          <w:type w:val="bbPlcHdr"/>
        </w:types>
        <w:behaviors>
          <w:behavior w:val="content"/>
        </w:behaviors>
        <w:description w:val=""/>
        <w:guid w:val="{b3b3f46e-b807-436c-ad91-c9842ebfee70}"/>
      </w:docPartPr>
      <w:docPartBody>
        <w:p>
          <w:r>
            <w:rPr>
              <w:color w:val="808080"/>
            </w:rPr>
            <w:t>单击此处输入文字。</w:t>
          </w:r>
        </w:p>
      </w:docPartBody>
    </w:docPart>
    <w:docPart>
      <w:docPartPr>
        <w:name w:val="{e29efa9c-a763-45eb-97af-34deb7086061}"/>
        <w:style w:val=""/>
        <w:category>
          <w:name w:val="常规"/>
          <w:gallery w:val="placeholder"/>
        </w:category>
        <w:types>
          <w:type w:val="bbPlcHdr"/>
        </w:types>
        <w:behaviors>
          <w:behavior w:val="content"/>
        </w:behaviors>
        <w:description w:val=""/>
        <w:guid w:val="{e29efa9c-a763-45eb-97af-34deb7086061}"/>
      </w:docPartPr>
      <w:docPartBody>
        <w:p>
          <w:r>
            <w:rPr>
              <w:color w:val="808080"/>
            </w:rPr>
            <w:t>单击此处输入文字。</w:t>
          </w:r>
        </w:p>
      </w:docPartBody>
    </w:docPart>
    <w:docPart>
      <w:docPartPr>
        <w:name w:val="{e78321b0-f680-47ed-9d91-766c2421d789}"/>
        <w:style w:val=""/>
        <w:category>
          <w:name w:val="常规"/>
          <w:gallery w:val="placeholder"/>
        </w:category>
        <w:types>
          <w:type w:val="bbPlcHdr"/>
        </w:types>
        <w:behaviors>
          <w:behavior w:val="content"/>
        </w:behaviors>
        <w:description w:val=""/>
        <w:guid w:val="{e78321b0-f680-47ed-9d91-766c2421d789}"/>
      </w:docPartPr>
      <w:docPartBody>
        <w:p>
          <w:r>
            <w:rPr>
              <w:color w:val="808080"/>
            </w:rPr>
            <w:t>单击此处输入文字。</w:t>
          </w:r>
        </w:p>
      </w:docPartBody>
    </w:docPart>
    <w:docPart>
      <w:docPartPr>
        <w:name w:val="{fc3a50d5-8896-4398-a98a-8bfaa7e813f4}"/>
        <w:style w:val=""/>
        <w:category>
          <w:name w:val="常规"/>
          <w:gallery w:val="placeholder"/>
        </w:category>
        <w:types>
          <w:type w:val="bbPlcHdr"/>
        </w:types>
        <w:behaviors>
          <w:behavior w:val="content"/>
        </w:behaviors>
        <w:description w:val=""/>
        <w:guid w:val="{fc3a50d5-8896-4398-a98a-8bfaa7e813f4}"/>
      </w:docPartPr>
      <w:docPartBody>
        <w:p>
          <w:r>
            <w:rPr>
              <w:color w:val="808080"/>
            </w:rPr>
            <w:t>单击此处输入文字。</w:t>
          </w:r>
        </w:p>
      </w:docPartBody>
    </w:docPart>
    <w:docPart>
      <w:docPartPr>
        <w:name w:val="{f06f43f1-140b-40dd-be72-875991bc3088}"/>
        <w:style w:val=""/>
        <w:category>
          <w:name w:val="常规"/>
          <w:gallery w:val="placeholder"/>
        </w:category>
        <w:types>
          <w:type w:val="bbPlcHdr"/>
        </w:types>
        <w:behaviors>
          <w:behavior w:val="content"/>
        </w:behaviors>
        <w:description w:val=""/>
        <w:guid w:val="{f06f43f1-140b-40dd-be72-875991bc3088}"/>
      </w:docPartPr>
      <w:docPartBody>
        <w:p>
          <w:r>
            <w:rPr>
              <w:color w:val="808080"/>
            </w:rPr>
            <w:t>单击此处输入文字。</w:t>
          </w:r>
        </w:p>
      </w:docPartBody>
    </w:docPart>
    <w:docPart>
      <w:docPartPr>
        <w:name w:val="{5ef76bca-07c8-48b4-9e65-b5944a481929}"/>
        <w:style w:val=""/>
        <w:category>
          <w:name w:val="常规"/>
          <w:gallery w:val="placeholder"/>
        </w:category>
        <w:types>
          <w:type w:val="bbPlcHdr"/>
        </w:types>
        <w:behaviors>
          <w:behavior w:val="content"/>
        </w:behaviors>
        <w:description w:val=""/>
        <w:guid w:val="{5ef76bca-07c8-48b4-9e65-b5944a481929}"/>
      </w:docPartPr>
      <w:docPartBody>
        <w:p>
          <w:r>
            <w:rPr>
              <w:color w:val="808080"/>
            </w:rPr>
            <w:t>单击此处输入文字。</w:t>
          </w:r>
        </w:p>
      </w:docPartBody>
    </w:docPart>
    <w:docPart>
      <w:docPartPr>
        <w:name w:val="{fa9ae1b6-f905-41f0-aa98-72c1f8e8ad88}"/>
        <w:style w:val=""/>
        <w:category>
          <w:name w:val="常规"/>
          <w:gallery w:val="placeholder"/>
        </w:category>
        <w:types>
          <w:type w:val="bbPlcHdr"/>
        </w:types>
        <w:behaviors>
          <w:behavior w:val="content"/>
        </w:behaviors>
        <w:description w:val=""/>
        <w:guid w:val="{fa9ae1b6-f905-41f0-aa98-72c1f8e8ad88}"/>
      </w:docPartPr>
      <w:docPartBody>
        <w:p>
          <w:r>
            <w:rPr>
              <w:color w:val="808080"/>
            </w:rPr>
            <w:t>单击此处输入文字。</w:t>
          </w:r>
        </w:p>
      </w:docPartBody>
    </w:docPart>
    <w:docPart>
      <w:docPartPr>
        <w:name w:val="{3a9adeac-5966-42bd-af82-acd59baaabd1}"/>
        <w:style w:val=""/>
        <w:category>
          <w:name w:val="常规"/>
          <w:gallery w:val="placeholder"/>
        </w:category>
        <w:types>
          <w:type w:val="bbPlcHdr"/>
        </w:types>
        <w:behaviors>
          <w:behavior w:val="content"/>
        </w:behaviors>
        <w:description w:val=""/>
        <w:guid w:val="{3a9adeac-5966-42bd-af82-acd59baaabd1}"/>
      </w:docPartPr>
      <w:docPartBody>
        <w:p>
          <w:r>
            <w:rPr>
              <w:color w:val="808080"/>
            </w:rPr>
            <w:t>单击此处输入文字。</w:t>
          </w:r>
        </w:p>
      </w:docPartBody>
    </w:docPart>
    <w:docPart>
      <w:docPartPr>
        <w:name w:val="{25dabf9e-fa01-41e7-bd6e-590171ba10ff}"/>
        <w:style w:val=""/>
        <w:category>
          <w:name w:val="常规"/>
          <w:gallery w:val="placeholder"/>
        </w:category>
        <w:types>
          <w:type w:val="bbPlcHdr"/>
        </w:types>
        <w:behaviors>
          <w:behavior w:val="content"/>
        </w:behaviors>
        <w:description w:val=""/>
        <w:guid w:val="{25dabf9e-fa01-41e7-bd6e-590171ba10ff}"/>
      </w:docPartPr>
      <w:docPartBody>
        <w:p>
          <w:r>
            <w:rPr>
              <w:color w:val="808080"/>
            </w:rPr>
            <w:t>单击此处输入文字。</w:t>
          </w:r>
        </w:p>
      </w:docPartBody>
    </w:docPart>
    <w:docPart>
      <w:docPartPr>
        <w:name w:val="{c73c14b1-e500-4f24-8d4c-9be391db3eaa}"/>
        <w:style w:val=""/>
        <w:category>
          <w:name w:val="常规"/>
          <w:gallery w:val="placeholder"/>
        </w:category>
        <w:types>
          <w:type w:val="bbPlcHdr"/>
        </w:types>
        <w:behaviors>
          <w:behavior w:val="content"/>
        </w:behaviors>
        <w:description w:val=""/>
        <w:guid w:val="{c73c14b1-e500-4f24-8d4c-9be391db3eaa}"/>
      </w:docPartPr>
      <w:docPartBody>
        <w:p>
          <w:r>
            <w:rPr>
              <w:color w:val="808080"/>
            </w:rPr>
            <w:t>单击此处输入文字。</w:t>
          </w:r>
        </w:p>
      </w:docPartBody>
    </w:docPart>
    <w:docPart>
      <w:docPartPr>
        <w:name w:val="{b2a04d05-967f-4879-b57c-36218e169f8d}"/>
        <w:style w:val=""/>
        <w:category>
          <w:name w:val="常规"/>
          <w:gallery w:val="placeholder"/>
        </w:category>
        <w:types>
          <w:type w:val="bbPlcHdr"/>
        </w:types>
        <w:behaviors>
          <w:behavior w:val="content"/>
        </w:behaviors>
        <w:description w:val=""/>
        <w:guid w:val="{b2a04d05-967f-4879-b57c-36218e169f8d}"/>
      </w:docPartPr>
      <w:docPartBody>
        <w:p>
          <w:r>
            <w:rPr>
              <w:color w:val="808080"/>
            </w:rPr>
            <w:t>单击此处输入文字。</w:t>
          </w:r>
        </w:p>
      </w:docPartBody>
    </w:docPart>
    <w:docPart>
      <w:docPartPr>
        <w:name w:val="{c61fbc28-a402-40e6-91a8-f3ca912651d5}"/>
        <w:style w:val=""/>
        <w:category>
          <w:name w:val="常规"/>
          <w:gallery w:val="placeholder"/>
        </w:category>
        <w:types>
          <w:type w:val="bbPlcHdr"/>
        </w:types>
        <w:behaviors>
          <w:behavior w:val="content"/>
        </w:behaviors>
        <w:description w:val=""/>
        <w:guid w:val="{c61fbc28-a402-40e6-91a8-f3ca912651d5}"/>
      </w:docPartPr>
      <w:docPartBody>
        <w:p>
          <w:r>
            <w:rPr>
              <w:color w:val="808080"/>
            </w:rPr>
            <w:t>单击此处输入文字。</w:t>
          </w:r>
        </w:p>
      </w:docPartBody>
    </w:docPart>
    <w:docPart>
      <w:docPartPr>
        <w:name w:val="{3221e7e4-2a61-4fa3-af0e-a2f6dd406da7}"/>
        <w:style w:val=""/>
        <w:category>
          <w:name w:val="常规"/>
          <w:gallery w:val="placeholder"/>
        </w:category>
        <w:types>
          <w:type w:val="bbPlcHdr"/>
        </w:types>
        <w:behaviors>
          <w:behavior w:val="content"/>
        </w:behaviors>
        <w:description w:val=""/>
        <w:guid w:val="{3221e7e4-2a61-4fa3-af0e-a2f6dd406da7}"/>
      </w:docPartPr>
      <w:docPartBody>
        <w:p>
          <w:r>
            <w:rPr>
              <w:color w:val="808080"/>
            </w:rPr>
            <w:t>单击此处输入文字。</w:t>
          </w:r>
        </w:p>
      </w:docPartBody>
    </w:docPart>
    <w:docPart>
      <w:docPartPr>
        <w:name w:val="{6295e2b2-8278-4ff0-9ad2-d8e4838f006e}"/>
        <w:style w:val=""/>
        <w:category>
          <w:name w:val="常规"/>
          <w:gallery w:val="placeholder"/>
        </w:category>
        <w:types>
          <w:type w:val="bbPlcHdr"/>
        </w:types>
        <w:behaviors>
          <w:behavior w:val="content"/>
        </w:behaviors>
        <w:description w:val=""/>
        <w:guid w:val="{6295e2b2-8278-4ff0-9ad2-d8e4838f006e}"/>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E0A1A3-EFE5-4141-BD78-3D6DF350F9F5}">
  <ds:schemaRefs/>
</ds:datastoreItem>
</file>

<file path=docProps/app.xml><?xml version="1.0" encoding="utf-8"?>
<Properties xmlns="http://schemas.openxmlformats.org/officeDocument/2006/extended-properties" xmlns:vt="http://schemas.openxmlformats.org/officeDocument/2006/docPropsVTypes">
  <Template>Normal</Template>
  <Pages>13</Pages>
  <Words>3947</Words>
  <Characters>4477</Characters>
  <Lines>31</Lines>
  <Paragraphs>8</Paragraphs>
  <TotalTime>9</TotalTime>
  <ScaleCrop>false</ScaleCrop>
  <LinksUpToDate>false</LinksUpToDate>
  <CharactersWithSpaces>4561</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2017-10-31T03:37:00Z</dcterms:created>
  <dc:creator>czjysc</dc:creator>
  <cp:lastModifiedBy>Administrator</cp:lastModifiedBy>
  <cp:lastPrinted>2025-01-24T03:05:00Z</cp:lastPrinted>
  <dcterms:modified xsi:type="dcterms:W3CDTF">2025-02-26T08:12:07Z</dcterms:modified>
  <cp:revision>302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B8C9E0E3F1BB4452BFFC68EB4737112E</vt:lpwstr>
  </property>
</Properties>
</file>