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eastAsia="zh-CN"/>
        </w:rPr>
        <w:t>附件</w:t>
      </w:r>
      <w:r>
        <w:rPr>
          <w:rFonts w:hint="eastAsia" w:ascii="黑体" w:hAnsi="黑体" w:eastAsia="黑体" w:cs="黑体"/>
          <w:b w:val="0"/>
          <w:bCs/>
          <w:color w:val="auto"/>
          <w:sz w:val="32"/>
          <w:szCs w:val="32"/>
          <w:highlight w:val="none"/>
          <w:lang w:val="en-US" w:eastAsia="zh-CN"/>
        </w:rPr>
        <w:t>2</w:t>
      </w: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1716" w:firstLineChars="400"/>
        <w:jc w:val="both"/>
        <w:rPr>
          <w:rFonts w:hint="eastAsia" w:ascii="黑体" w:hAnsi="黑体" w:eastAsia="黑体" w:cs="黑体"/>
          <w:b w:val="0"/>
          <w:bCs w:val="0"/>
          <w:i w:val="0"/>
          <w:iCs w:val="0"/>
          <w:caps w:val="0"/>
          <w:spacing w:val="0"/>
          <w:sz w:val="44"/>
          <w:szCs w:val="44"/>
          <w:shd w:val="clear" w:color="auto" w:fill="FFFFFF"/>
          <w:lang w:val="en-US" w:eastAsia="zh-CN"/>
        </w:rPr>
      </w:pPr>
      <w:r>
        <w:rPr>
          <w:rFonts w:hint="eastAsia" w:ascii="黑体" w:hAnsi="黑体" w:eastAsia="黑体" w:cs="黑体"/>
          <w:b w:val="0"/>
          <w:bCs w:val="0"/>
          <w:i w:val="0"/>
          <w:iCs w:val="0"/>
          <w:caps w:val="0"/>
          <w:spacing w:val="0"/>
          <w:sz w:val="44"/>
          <w:szCs w:val="44"/>
          <w:shd w:val="clear" w:color="auto" w:fill="FFFFFF"/>
          <w:lang w:eastAsia="zh-CN"/>
        </w:rPr>
        <w:t>贵阳市科学技术协会</w:t>
      </w:r>
      <w:r>
        <w:rPr>
          <w:rFonts w:hint="eastAsia" w:ascii="黑体" w:hAnsi="黑体" w:eastAsia="黑体" w:cs="黑体"/>
          <w:b w:val="0"/>
          <w:bCs w:val="0"/>
          <w:i w:val="0"/>
          <w:iCs w:val="0"/>
          <w:caps w:val="0"/>
          <w:spacing w:val="0"/>
          <w:sz w:val="44"/>
          <w:szCs w:val="44"/>
          <w:shd w:val="clear" w:color="auto" w:fill="FFFFFF"/>
          <w:lang w:val="en-US" w:eastAsia="zh-CN"/>
        </w:rPr>
        <w:t>(本级）</w:t>
      </w:r>
    </w:p>
    <w:p>
      <w:pPr>
        <w:jc w:val="center"/>
        <w:rPr>
          <w:rFonts w:hint="eastAsia" w:ascii="黑体" w:hAnsi="黑体" w:eastAsia="黑体" w:cs="黑体"/>
          <w:b w:val="0"/>
          <w:bCs w:val="0"/>
          <w:i w:val="0"/>
          <w:iCs w:val="0"/>
          <w:caps w:val="0"/>
          <w:spacing w:val="0"/>
          <w:sz w:val="44"/>
          <w:szCs w:val="44"/>
          <w:shd w:val="clear" w:color="auto" w:fill="FFFFFF"/>
          <w:lang w:eastAsia="zh-CN"/>
        </w:rPr>
      </w:pPr>
      <w:r>
        <w:rPr>
          <w:rFonts w:hint="eastAsia" w:ascii="黑体" w:hAnsi="黑体" w:eastAsia="黑体" w:cs="黑体"/>
          <w:b w:val="0"/>
          <w:bCs w:val="0"/>
          <w:i w:val="0"/>
          <w:iCs w:val="0"/>
          <w:caps w:val="0"/>
          <w:spacing w:val="0"/>
          <w:sz w:val="44"/>
          <w:szCs w:val="44"/>
          <w:shd w:val="clear" w:color="auto" w:fill="FFFFFF"/>
          <w:lang w:eastAsia="zh-CN"/>
        </w:rPr>
        <w:t>202</w:t>
      </w:r>
      <w:r>
        <w:rPr>
          <w:rFonts w:hint="eastAsia" w:ascii="黑体" w:hAnsi="黑体" w:eastAsia="黑体" w:cs="黑体"/>
          <w:b w:val="0"/>
          <w:bCs w:val="0"/>
          <w:i w:val="0"/>
          <w:iCs w:val="0"/>
          <w:caps w:val="0"/>
          <w:spacing w:val="0"/>
          <w:sz w:val="44"/>
          <w:szCs w:val="44"/>
          <w:shd w:val="clear" w:color="auto" w:fill="FFFFFF"/>
          <w:lang w:val="en-US" w:eastAsia="zh-CN"/>
        </w:rPr>
        <w:t>5</w:t>
      </w:r>
      <w:r>
        <w:rPr>
          <w:rFonts w:hint="eastAsia" w:ascii="黑体" w:hAnsi="黑体" w:eastAsia="黑体" w:cs="黑体"/>
          <w:b w:val="0"/>
          <w:bCs w:val="0"/>
          <w:i w:val="0"/>
          <w:iCs w:val="0"/>
          <w:caps w:val="0"/>
          <w:spacing w:val="0"/>
          <w:sz w:val="44"/>
          <w:szCs w:val="44"/>
          <w:shd w:val="clear" w:color="auto" w:fill="FFFFFF"/>
          <w:lang w:eastAsia="zh-CN"/>
        </w:rPr>
        <w:t>年部门预算公开信息</w:t>
      </w:r>
    </w:p>
    <w:p>
      <w:pPr>
        <w:jc w:val="left"/>
        <w:rPr>
          <w:rFonts w:ascii="新宋体" w:hAnsi="新宋体" w:eastAsia="新宋体" w:cs="新宋体"/>
          <w:b/>
          <w:color w:val="auto"/>
          <w:sz w:val="32"/>
          <w:szCs w:val="52"/>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sdt>
      <w:sdtPr>
        <w:rPr>
          <w:rFonts w:ascii="宋体" w:hAnsi="宋体" w:eastAsia="宋体" w:cs="Times New Roman"/>
          <w:kern w:val="2"/>
          <w:sz w:val="21"/>
          <w:szCs w:val="24"/>
          <w:lang w:val="en-US" w:eastAsia="zh-CN" w:bidi="ar-SA"/>
        </w:rPr>
        <w:id w:val="147460272"/>
        <w:docPartObj>
          <w:docPartGallery w:val="Table of Contents"/>
          <w:docPartUnique/>
        </w:docPartObj>
      </w:sdtPr>
      <w:sdtEndPr>
        <w:rPr>
          <w:rFonts w:ascii="宋体" w:hAnsi="宋体" w:eastAsia="宋体" w:cs="Times New Roman"/>
          <w:b/>
          <w:bCs/>
          <w:kern w:val="2"/>
          <w:sz w:val="20"/>
          <w:szCs w:val="20"/>
          <w:lang w:val="en-US" w:eastAsia="zh-CN" w:bidi="ar-SA"/>
        </w:rPr>
      </w:sdtEndPr>
      <w:sdtContent>
        <w:p>
          <w:pPr>
            <w:spacing w:before="0" w:beforeLines="0" w:after="0" w:afterLines="0" w:line="240" w:lineRule="auto"/>
            <w:ind w:left="0" w:leftChars="0" w:right="0" w:rightChars="0" w:firstLine="0" w:firstLineChars="0"/>
            <w:jc w:val="center"/>
          </w:pPr>
          <w:bookmarkStart w:id="0" w:name="_Toc5593_WPSOffice_Type2"/>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20"/>
            <w:tabs>
              <w:tab w:val="right" w:leader="dot" w:pos="8732"/>
            </w:tabs>
          </w:pPr>
          <w:r>
            <w:rPr>
              <w:b/>
              <w:bCs/>
            </w:rPr>
            <w:fldChar w:fldCharType="begin"/>
          </w:r>
          <w:r>
            <w:instrText xml:space="preserve"> HYPERLINK \l _Toc4580_WPSOffice_Level1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4cc3f5c8-7f71-456e-9416-0fed207edcd3}"/>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一、单位概况</w:t>
              </w:r>
            </w:sdtContent>
          </w:sdt>
          <w:r>
            <w:rPr>
              <w:b/>
              <w:bCs/>
            </w:rPr>
            <w:tab/>
          </w:r>
          <w:bookmarkStart w:id="1" w:name="_Toc4580_WPSOffice_Level1Page"/>
          <w:r>
            <w:rPr>
              <w:b/>
              <w:bCs/>
            </w:rPr>
            <w:t>3</w:t>
          </w:r>
          <w:bookmarkEnd w:id="1"/>
          <w:r>
            <w:rPr>
              <w:b/>
              <w:bCs/>
            </w:rPr>
            <w:fldChar w:fldCharType="end"/>
          </w:r>
        </w:p>
        <w:p>
          <w:pPr>
            <w:pStyle w:val="21"/>
            <w:tabs>
              <w:tab w:val="right" w:leader="dot" w:pos="8732"/>
            </w:tabs>
          </w:pPr>
          <w:r>
            <w:fldChar w:fldCharType="begin"/>
          </w:r>
          <w:r>
            <w:instrText xml:space="preserve"> HYPERLINK \l _Toc5593_WPSOffice_Level2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737bdd4-74df-40ec-b935-0833342914a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（一）单位主要职能</w:t>
              </w:r>
            </w:sdtContent>
          </w:sdt>
          <w:r>
            <w:tab/>
          </w:r>
          <w:bookmarkStart w:id="2" w:name="_Toc5593_WPSOffice_Level2Page"/>
          <w:r>
            <w:t>3</w:t>
          </w:r>
          <w:bookmarkEnd w:id="2"/>
          <w:r>
            <w:fldChar w:fldCharType="end"/>
          </w:r>
        </w:p>
        <w:p>
          <w:pPr>
            <w:pStyle w:val="21"/>
            <w:tabs>
              <w:tab w:val="right" w:leader="dot" w:pos="8732"/>
            </w:tabs>
          </w:pPr>
          <w:r>
            <w:fldChar w:fldCharType="begin"/>
          </w:r>
          <w:r>
            <w:instrText xml:space="preserve"> HYPERLINK \l _Toc21484_WPSOffice_Level2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f98847a-29ea-4e3b-ad43-8adcc6a14553}"/>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（二）单位机构设置</w:t>
              </w:r>
            </w:sdtContent>
          </w:sdt>
          <w:r>
            <w:tab/>
          </w:r>
          <w:bookmarkStart w:id="3" w:name="_Toc21484_WPSOffice_Level2Page"/>
          <w:r>
            <w:t>3</w:t>
          </w:r>
          <w:bookmarkEnd w:id="3"/>
          <w:r>
            <w:fldChar w:fldCharType="end"/>
          </w:r>
        </w:p>
        <w:p>
          <w:pPr>
            <w:pStyle w:val="21"/>
            <w:tabs>
              <w:tab w:val="right" w:leader="dot" w:pos="8732"/>
            </w:tabs>
          </w:pPr>
          <w:r>
            <w:fldChar w:fldCharType="begin"/>
          </w:r>
          <w:r>
            <w:instrText xml:space="preserve"> HYPERLINK \l _Toc971_WPSOffice_Level2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d221aca-11c5-42cd-bb20-ec5ac27e1d7b}"/>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（三）预算单位构成</w:t>
              </w:r>
            </w:sdtContent>
          </w:sdt>
          <w:r>
            <w:tab/>
          </w:r>
          <w:bookmarkStart w:id="4" w:name="_Toc971_WPSOffice_Level2Page"/>
          <w:r>
            <w:t>3</w:t>
          </w:r>
          <w:bookmarkEnd w:id="4"/>
          <w:r>
            <w:fldChar w:fldCharType="end"/>
          </w:r>
        </w:p>
        <w:p>
          <w:pPr>
            <w:pStyle w:val="21"/>
            <w:tabs>
              <w:tab w:val="right" w:leader="dot" w:pos="8732"/>
            </w:tabs>
          </w:pPr>
          <w:r>
            <w:fldChar w:fldCharType="begin"/>
          </w:r>
          <w:r>
            <w:instrText xml:space="preserve"> HYPERLINK \l _Toc23641_WPSOffice_Level2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8d9caba8-e915-44a0-8da9-b524aa2e8e0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（四）单位人员构成</w:t>
              </w:r>
            </w:sdtContent>
          </w:sdt>
          <w:r>
            <w:tab/>
          </w:r>
          <w:bookmarkStart w:id="5" w:name="_Toc23641_WPSOffice_Level2Page"/>
          <w:r>
            <w:t>3</w:t>
          </w:r>
          <w:bookmarkEnd w:id="5"/>
          <w:r>
            <w:fldChar w:fldCharType="end"/>
          </w:r>
        </w:p>
        <w:p>
          <w:pPr>
            <w:pStyle w:val="20"/>
            <w:tabs>
              <w:tab w:val="right" w:leader="dot" w:pos="8732"/>
            </w:tabs>
          </w:pPr>
          <w:r>
            <w:rPr>
              <w:b/>
              <w:bCs/>
            </w:rPr>
            <w:fldChar w:fldCharType="begin"/>
          </w:r>
          <w:r>
            <w:instrText xml:space="preserve"> HYPERLINK \l _Toc5593_WPSOffice_Level1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87d95b1c-df9e-4387-bd36-736b291b6328}"/>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二、单位主要工作任务和政策依据</w:t>
              </w:r>
            </w:sdtContent>
          </w:sdt>
          <w:r>
            <w:rPr>
              <w:b/>
              <w:bCs/>
            </w:rPr>
            <w:tab/>
          </w:r>
          <w:bookmarkStart w:id="6" w:name="_Toc5593_WPSOffice_Level1Page"/>
          <w:r>
            <w:rPr>
              <w:b/>
              <w:bCs/>
            </w:rPr>
            <w:t>4</w:t>
          </w:r>
          <w:bookmarkEnd w:id="6"/>
          <w:r>
            <w:rPr>
              <w:b/>
              <w:bCs/>
            </w:rPr>
            <w:fldChar w:fldCharType="end"/>
          </w:r>
        </w:p>
        <w:p>
          <w:pPr>
            <w:pStyle w:val="20"/>
            <w:tabs>
              <w:tab w:val="right" w:leader="dot" w:pos="8732"/>
            </w:tabs>
          </w:pPr>
          <w:r>
            <w:rPr>
              <w:b/>
              <w:bCs/>
            </w:rPr>
            <w:fldChar w:fldCharType="begin"/>
          </w:r>
          <w:r>
            <w:instrText xml:space="preserve"> HYPERLINK \l _Toc21484_WPSOffice_Level1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b58bb233-59e8-4f2f-8715-d96534589ba1}"/>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三、部门预算安排情况说明</w:t>
              </w:r>
            </w:sdtContent>
          </w:sdt>
          <w:r>
            <w:rPr>
              <w:b/>
              <w:bCs/>
            </w:rPr>
            <w:tab/>
          </w:r>
          <w:bookmarkStart w:id="7" w:name="_Toc21484_WPSOffice_Level1Page"/>
          <w:r>
            <w:rPr>
              <w:b/>
              <w:bCs/>
            </w:rPr>
            <w:t>4</w:t>
          </w:r>
          <w:bookmarkEnd w:id="7"/>
          <w:r>
            <w:rPr>
              <w:b/>
              <w:bCs/>
            </w:rPr>
            <w:fldChar w:fldCharType="end"/>
          </w:r>
        </w:p>
        <w:p>
          <w:pPr>
            <w:pStyle w:val="21"/>
            <w:tabs>
              <w:tab w:val="right" w:leader="dot" w:pos="8732"/>
            </w:tabs>
          </w:pPr>
          <w:r>
            <w:fldChar w:fldCharType="begin"/>
          </w:r>
          <w:r>
            <w:instrText xml:space="preserve"> HYPERLINK \l _Toc26334_WPSOffice_Level2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fefc3b4-2d50-4338-a1a8-4889dcc4b52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（一）部门收支总体情况（详见附表1-3）</w:t>
              </w:r>
            </w:sdtContent>
          </w:sdt>
          <w:r>
            <w:tab/>
          </w:r>
          <w:bookmarkStart w:id="8" w:name="_Toc26334_WPSOffice_Level2Page"/>
          <w:r>
            <w:t>4</w:t>
          </w:r>
          <w:bookmarkEnd w:id="8"/>
          <w:r>
            <w:fldChar w:fldCharType="end"/>
          </w:r>
        </w:p>
        <w:p>
          <w:pPr>
            <w:pStyle w:val="21"/>
            <w:tabs>
              <w:tab w:val="right" w:leader="dot" w:pos="8732"/>
            </w:tabs>
          </w:pPr>
          <w:r>
            <w:fldChar w:fldCharType="begin"/>
          </w:r>
          <w:r>
            <w:instrText xml:space="preserve"> HYPERLINK \l _Toc25780_WPSOffice_Level2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a89f48d-a47d-46ec-ab56-5bbb88a96d1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（二）财政拨款收支总体情况（详见表4）</w:t>
              </w:r>
            </w:sdtContent>
          </w:sdt>
          <w:r>
            <w:tab/>
          </w:r>
          <w:bookmarkStart w:id="9" w:name="_Toc25780_WPSOffice_Level2Page"/>
          <w:r>
            <w:t>5</w:t>
          </w:r>
          <w:bookmarkEnd w:id="9"/>
          <w:r>
            <w:fldChar w:fldCharType="end"/>
          </w:r>
        </w:p>
        <w:p>
          <w:pPr>
            <w:pStyle w:val="21"/>
            <w:tabs>
              <w:tab w:val="right" w:leader="dot" w:pos="8732"/>
            </w:tabs>
          </w:pPr>
          <w:r>
            <w:fldChar w:fldCharType="begin"/>
          </w:r>
          <w:r>
            <w:instrText xml:space="preserve"> HYPERLINK \l _Toc17711_WPSOffice_Level2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23cd953-7b32-4632-ba3b-c712a62b891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（三）一般公共预算支出情况（详见表5）</w:t>
              </w:r>
            </w:sdtContent>
          </w:sdt>
          <w:r>
            <w:tab/>
          </w:r>
          <w:bookmarkStart w:id="10" w:name="_Toc17711_WPSOffice_Level2Page"/>
          <w:r>
            <w:t>6</w:t>
          </w:r>
          <w:bookmarkEnd w:id="10"/>
          <w:r>
            <w:fldChar w:fldCharType="end"/>
          </w:r>
        </w:p>
        <w:p>
          <w:pPr>
            <w:pStyle w:val="21"/>
            <w:tabs>
              <w:tab w:val="right" w:leader="dot" w:pos="8732"/>
            </w:tabs>
          </w:pPr>
          <w:r>
            <w:fldChar w:fldCharType="begin"/>
          </w:r>
          <w:r>
            <w:instrText xml:space="preserve"> HYPERLINK \l _Toc16188_WPSOffice_Level2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9a26e859-b3ee-42b5-a43c-5bd223720203}"/>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（四）一般公共预算基本支出情况（详见表6、7）</w:t>
              </w:r>
            </w:sdtContent>
          </w:sdt>
          <w:r>
            <w:tab/>
          </w:r>
          <w:bookmarkStart w:id="11" w:name="_Toc16188_WPSOffice_Level2Page"/>
          <w:r>
            <w:t>6</w:t>
          </w:r>
          <w:bookmarkEnd w:id="11"/>
          <w:r>
            <w:fldChar w:fldCharType="end"/>
          </w:r>
        </w:p>
        <w:p>
          <w:pPr>
            <w:pStyle w:val="21"/>
            <w:tabs>
              <w:tab w:val="right" w:leader="dot" w:pos="8732"/>
            </w:tabs>
          </w:pPr>
          <w:r>
            <w:fldChar w:fldCharType="begin"/>
          </w:r>
          <w:r>
            <w:instrText xml:space="preserve"> HYPERLINK \l _Toc16972_WPSOffice_Level2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b3b3f46e-b807-436c-ad91-c9842ebfee70}"/>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（五）政府性基金预算支出情况（详见表8）</w:t>
              </w:r>
            </w:sdtContent>
          </w:sdt>
          <w:r>
            <w:tab/>
          </w:r>
          <w:bookmarkStart w:id="12" w:name="_Toc16972_WPSOffice_Level2Page"/>
          <w:r>
            <w:t>6</w:t>
          </w:r>
          <w:bookmarkEnd w:id="12"/>
          <w:r>
            <w:fldChar w:fldCharType="end"/>
          </w:r>
        </w:p>
        <w:p>
          <w:pPr>
            <w:pStyle w:val="21"/>
            <w:tabs>
              <w:tab w:val="right" w:leader="dot" w:pos="8732"/>
            </w:tabs>
          </w:pPr>
          <w:r>
            <w:fldChar w:fldCharType="begin"/>
          </w:r>
          <w:r>
            <w:instrText xml:space="preserve"> HYPERLINK \l _Toc23139_WPSOffice_Level2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29efa9c-a763-45eb-97af-34deb708606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（六）国有资本经营预算支出情况（详见表9）</w:t>
              </w:r>
            </w:sdtContent>
          </w:sdt>
          <w:r>
            <w:tab/>
          </w:r>
          <w:bookmarkStart w:id="13" w:name="_Toc23139_WPSOffice_Level2Page"/>
          <w:r>
            <w:t>6</w:t>
          </w:r>
          <w:bookmarkEnd w:id="13"/>
          <w:r>
            <w:fldChar w:fldCharType="end"/>
          </w:r>
        </w:p>
        <w:p>
          <w:pPr>
            <w:pStyle w:val="21"/>
            <w:tabs>
              <w:tab w:val="right" w:leader="dot" w:pos="8732"/>
            </w:tabs>
          </w:pPr>
          <w:r>
            <w:fldChar w:fldCharType="begin"/>
          </w:r>
          <w:r>
            <w:instrText xml:space="preserve"> HYPERLINK \l _Toc3961_WPSOffice_Level2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78321b0-f680-47ed-9d91-766c2421d789}"/>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（七）财政拨款“三公”经费支出预算情况（详见表10）</w:t>
              </w:r>
            </w:sdtContent>
          </w:sdt>
          <w:r>
            <w:tab/>
          </w:r>
          <w:bookmarkStart w:id="14" w:name="_Toc3961_WPSOffice_Level2Page"/>
          <w:r>
            <w:t>7</w:t>
          </w:r>
          <w:bookmarkEnd w:id="14"/>
          <w:r>
            <w:fldChar w:fldCharType="end"/>
          </w:r>
        </w:p>
        <w:p>
          <w:pPr>
            <w:pStyle w:val="21"/>
            <w:tabs>
              <w:tab w:val="right" w:leader="dot" w:pos="8732"/>
            </w:tabs>
          </w:pPr>
          <w:r>
            <w:fldChar w:fldCharType="begin"/>
          </w:r>
          <w:r>
            <w:instrText xml:space="preserve"> HYPERLINK \l _Toc5267_WPSOffice_Level2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c3a50d5-8896-4398-a98a-8bfaa7e813f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（八）部门政府采购预算情况（详见表11）</w:t>
              </w:r>
            </w:sdtContent>
          </w:sdt>
          <w:r>
            <w:tab/>
          </w:r>
          <w:bookmarkStart w:id="15" w:name="_Toc5267_WPSOffice_Level2Page"/>
          <w:r>
            <w:t>8</w:t>
          </w:r>
          <w:bookmarkEnd w:id="15"/>
          <w:r>
            <w:fldChar w:fldCharType="end"/>
          </w:r>
        </w:p>
        <w:p>
          <w:pPr>
            <w:pStyle w:val="21"/>
            <w:tabs>
              <w:tab w:val="right" w:leader="dot" w:pos="8732"/>
            </w:tabs>
          </w:pPr>
          <w:r>
            <w:fldChar w:fldCharType="begin"/>
          </w:r>
          <w:r>
            <w:instrText xml:space="preserve"> HYPERLINK \l _Toc740_WPSOffice_Level2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06f43f1-140b-40dd-be72-875991bc3088}"/>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（九）市对下转移支付预算情况（详见表12）</w:t>
              </w:r>
            </w:sdtContent>
          </w:sdt>
          <w:r>
            <w:tab/>
          </w:r>
          <w:bookmarkStart w:id="16" w:name="_Toc740_WPSOffice_Level2Page"/>
          <w:r>
            <w:t>8</w:t>
          </w:r>
          <w:bookmarkEnd w:id="16"/>
          <w:r>
            <w:fldChar w:fldCharType="end"/>
          </w:r>
        </w:p>
        <w:p>
          <w:pPr>
            <w:pStyle w:val="21"/>
            <w:tabs>
              <w:tab w:val="right" w:leader="dot" w:pos="8732"/>
            </w:tabs>
          </w:pPr>
          <w:r>
            <w:fldChar w:fldCharType="begin"/>
          </w:r>
          <w:r>
            <w:instrText xml:space="preserve"> HYPERLINK \l _Toc16131_WPSOffice_Level2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5ef76bca-07c8-48b4-9e65-b5944a481929}"/>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（十）部门整体支出绩效目标情况（详见表13）</w:t>
              </w:r>
            </w:sdtContent>
          </w:sdt>
          <w:r>
            <w:tab/>
          </w:r>
          <w:bookmarkStart w:id="17" w:name="_Toc16131_WPSOffice_Level2Page"/>
          <w:r>
            <w:t>8</w:t>
          </w:r>
          <w:bookmarkEnd w:id="17"/>
          <w:r>
            <w:fldChar w:fldCharType="end"/>
          </w:r>
        </w:p>
        <w:p>
          <w:pPr>
            <w:pStyle w:val="21"/>
            <w:tabs>
              <w:tab w:val="right" w:leader="dot" w:pos="8732"/>
            </w:tabs>
          </w:pPr>
          <w:r>
            <w:fldChar w:fldCharType="begin"/>
          </w:r>
          <w:r>
            <w:instrText xml:space="preserve"> HYPERLINK \l _Toc13728_WPSOffice_Level2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a9ae1b6-f905-41f0-aa98-72c1f8e8ad88}"/>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（十一）项目支出绩效目标情况（详见表14）</w:t>
              </w:r>
            </w:sdtContent>
          </w:sdt>
          <w:r>
            <w:tab/>
          </w:r>
          <w:bookmarkStart w:id="18" w:name="_Toc13728_WPSOffice_Level2Page"/>
          <w:r>
            <w:t>9</w:t>
          </w:r>
          <w:bookmarkEnd w:id="18"/>
          <w:r>
            <w:fldChar w:fldCharType="end"/>
          </w:r>
        </w:p>
        <w:p>
          <w:pPr>
            <w:pStyle w:val="20"/>
            <w:tabs>
              <w:tab w:val="right" w:leader="dot" w:pos="8732"/>
            </w:tabs>
          </w:pPr>
          <w:r>
            <w:rPr>
              <w:b/>
              <w:bCs/>
            </w:rPr>
            <w:fldChar w:fldCharType="begin"/>
          </w:r>
          <w:r>
            <w:instrText xml:space="preserve"> HYPERLINK \l _Toc971_WPSOffice_Level1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3a9adeac-5966-42bd-af82-acd59baaabd1}"/>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四、其他重要事项说明</w:t>
              </w:r>
            </w:sdtContent>
          </w:sdt>
          <w:r>
            <w:rPr>
              <w:b/>
              <w:bCs/>
            </w:rPr>
            <w:tab/>
          </w:r>
          <w:bookmarkStart w:id="19" w:name="_Toc971_WPSOffice_Level1Page"/>
          <w:r>
            <w:rPr>
              <w:b/>
              <w:bCs/>
            </w:rPr>
            <w:t>9</w:t>
          </w:r>
          <w:bookmarkEnd w:id="19"/>
          <w:r>
            <w:rPr>
              <w:b/>
              <w:bCs/>
            </w:rPr>
            <w:fldChar w:fldCharType="end"/>
          </w:r>
        </w:p>
        <w:p>
          <w:pPr>
            <w:pStyle w:val="21"/>
            <w:tabs>
              <w:tab w:val="right" w:leader="dot" w:pos="8732"/>
            </w:tabs>
          </w:pPr>
          <w:r>
            <w:fldChar w:fldCharType="begin"/>
          </w:r>
          <w:r>
            <w:instrText xml:space="preserve"> HYPERLINK \l _Toc20558_WPSOffice_Level2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25dabf9e-fa01-41e7-bd6e-590171ba10ff}"/>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（一）机关（机构）运行经费情况</w:t>
              </w:r>
            </w:sdtContent>
          </w:sdt>
          <w:r>
            <w:tab/>
          </w:r>
          <w:bookmarkStart w:id="20" w:name="_Toc20558_WPSOffice_Level2Page"/>
          <w:r>
            <w:t>10</w:t>
          </w:r>
          <w:bookmarkEnd w:id="20"/>
          <w:r>
            <w:fldChar w:fldCharType="end"/>
          </w:r>
        </w:p>
        <w:p>
          <w:pPr>
            <w:pStyle w:val="21"/>
            <w:tabs>
              <w:tab w:val="right" w:leader="dot" w:pos="8732"/>
            </w:tabs>
          </w:pPr>
          <w:r>
            <w:fldChar w:fldCharType="begin"/>
          </w:r>
          <w:r>
            <w:instrText xml:space="preserve"> HYPERLINK \l _Toc18020_WPSOffice_Level2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73c14b1-e500-4f24-8d4c-9be391db3eaa}"/>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（二）国有资产占有使用情况</w:t>
              </w:r>
            </w:sdtContent>
          </w:sdt>
          <w:r>
            <w:tab/>
          </w:r>
          <w:bookmarkStart w:id="21" w:name="_Toc18020_WPSOffice_Level2Page"/>
          <w:r>
            <w:t>10</w:t>
          </w:r>
          <w:bookmarkEnd w:id="21"/>
          <w:r>
            <w:fldChar w:fldCharType="end"/>
          </w:r>
        </w:p>
        <w:p>
          <w:pPr>
            <w:pStyle w:val="21"/>
            <w:tabs>
              <w:tab w:val="right" w:leader="dot" w:pos="8732"/>
            </w:tabs>
          </w:pPr>
          <w:r>
            <w:fldChar w:fldCharType="begin"/>
          </w:r>
          <w:r>
            <w:instrText xml:space="preserve"> HYPERLINK \l _Toc3245_WPSOffice_Level2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b2a04d05-967f-4879-b57c-36218e169f8d}"/>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（三）预算绩效管理情况</w:t>
              </w:r>
            </w:sdtContent>
          </w:sdt>
          <w:r>
            <w:tab/>
          </w:r>
          <w:bookmarkStart w:id="22" w:name="_Toc3245_WPSOffice_Level2Page"/>
          <w:r>
            <w:t>10</w:t>
          </w:r>
          <w:bookmarkEnd w:id="22"/>
          <w:r>
            <w:fldChar w:fldCharType="end"/>
          </w:r>
        </w:p>
        <w:p>
          <w:pPr>
            <w:pStyle w:val="21"/>
            <w:tabs>
              <w:tab w:val="right" w:leader="dot" w:pos="8732"/>
            </w:tabs>
          </w:pPr>
          <w:r>
            <w:fldChar w:fldCharType="begin"/>
          </w:r>
          <w:r>
            <w:instrText xml:space="preserve"> HYPERLINK \l _Toc3940_WPSOffice_Level2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61fbc28-a402-40e6-91a8-f3ca912651d5}"/>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（四）项目支出安排情况</w:t>
              </w:r>
            </w:sdtContent>
          </w:sdt>
          <w:r>
            <w:tab/>
          </w:r>
          <w:bookmarkStart w:id="23" w:name="_Toc3940_WPSOffice_Level2Page"/>
          <w:r>
            <w:t>10</w:t>
          </w:r>
          <w:bookmarkEnd w:id="23"/>
          <w:r>
            <w:fldChar w:fldCharType="end"/>
          </w:r>
        </w:p>
        <w:p>
          <w:pPr>
            <w:pStyle w:val="21"/>
            <w:tabs>
              <w:tab w:val="right" w:leader="dot" w:pos="8732"/>
            </w:tabs>
          </w:pPr>
          <w:r>
            <w:fldChar w:fldCharType="begin"/>
          </w:r>
          <w:r>
            <w:instrText xml:space="preserve"> HYPERLINK \l _Toc22779_WPSOffice_Level2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3221e7e4-2a61-4fa3-af0e-a2f6dd406da7}"/>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（五）名词解释</w:t>
              </w:r>
            </w:sdtContent>
          </w:sdt>
          <w:r>
            <w:tab/>
          </w:r>
          <w:bookmarkStart w:id="24" w:name="_Toc22779_WPSOffice_Level2Page"/>
          <w:r>
            <w:t>11</w:t>
          </w:r>
          <w:bookmarkEnd w:id="24"/>
          <w:r>
            <w:fldChar w:fldCharType="end"/>
          </w:r>
        </w:p>
        <w:p>
          <w:pPr>
            <w:pStyle w:val="20"/>
            <w:tabs>
              <w:tab w:val="right" w:leader="dot" w:pos="8732"/>
            </w:tabs>
          </w:pPr>
          <w:r>
            <w:rPr>
              <w:b/>
              <w:bCs/>
            </w:rPr>
            <w:fldChar w:fldCharType="begin"/>
          </w:r>
          <w:r>
            <w:instrText xml:space="preserve"> HYPERLINK \l _Toc23641_WPSOffice_Level1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6295e2b2-8278-4ff0-9ad2-d8e4838f006e}"/>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五、2025年部门预算公开表（附表）</w:t>
              </w:r>
            </w:sdtContent>
          </w:sdt>
          <w:r>
            <w:rPr>
              <w:b/>
              <w:bCs/>
            </w:rPr>
            <w:tab/>
          </w:r>
          <w:bookmarkStart w:id="25" w:name="_Toc23641_WPSOffice_Level1Page"/>
          <w:r>
            <w:rPr>
              <w:b/>
              <w:bCs/>
            </w:rPr>
            <w:t>1</w:t>
          </w:r>
          <w:bookmarkEnd w:id="25"/>
          <w:r>
            <w:rPr>
              <w:b/>
              <w:bCs/>
            </w:rPr>
            <w:fldChar w:fldCharType="end"/>
          </w:r>
          <w:bookmarkEnd w:id="0"/>
          <w:r>
            <w:rPr>
              <w:rFonts w:hint="eastAsia"/>
              <w:b/>
              <w:bCs/>
              <w:lang w:val="en-US" w:eastAsia="zh-CN"/>
            </w:rPr>
            <w:t>3</w:t>
          </w:r>
        </w:p>
      </w:sdtContent>
    </w:sdt>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pStyle w:val="13"/>
        <w:keepNext w:val="0"/>
        <w:keepLines w:val="0"/>
        <w:pageBreakBefore/>
        <w:widowControl w:val="0"/>
        <w:kinsoku/>
        <w:wordWrap/>
        <w:overflowPunct/>
        <w:topLinePunct w:val="0"/>
        <w:autoSpaceDE/>
        <w:autoSpaceDN/>
        <w:bidi w:val="0"/>
        <w:adjustRightInd/>
        <w:snapToGrid/>
        <w:spacing w:line="740" w:lineRule="exact"/>
        <w:ind w:left="0" w:leftChars="0" w:firstLine="618" w:firstLineChars="200"/>
        <w:textAlignment w:val="auto"/>
        <w:rPr>
          <w:rFonts w:hint="eastAsia" w:ascii="黑体" w:hAnsi="黑体" w:eastAsia="黑体" w:cs="黑体"/>
          <w:bCs/>
          <w:color w:val="auto"/>
          <w:sz w:val="32"/>
          <w:szCs w:val="32"/>
          <w:highlight w:val="none"/>
        </w:rPr>
      </w:pPr>
      <w:bookmarkStart w:id="26" w:name="_Toc4580_WPSOffice_Level1"/>
      <w:r>
        <w:rPr>
          <w:rFonts w:hint="eastAsia" w:ascii="黑体" w:hAnsi="黑体" w:eastAsia="黑体" w:cs="黑体"/>
          <w:bCs/>
          <w:color w:val="auto"/>
          <w:sz w:val="32"/>
          <w:szCs w:val="32"/>
          <w:highlight w:val="none"/>
        </w:rPr>
        <w:t>一、单位概况</w:t>
      </w:r>
      <w:bookmarkEnd w:id="26"/>
    </w:p>
    <w:p>
      <w:pPr>
        <w:keepNext w:val="0"/>
        <w:keepLines w:val="0"/>
        <w:pageBreakBefore w:val="0"/>
        <w:kinsoku/>
        <w:wordWrap/>
        <w:overflowPunct/>
        <w:topLinePunct w:val="0"/>
        <w:autoSpaceDE/>
        <w:autoSpaceDN/>
        <w:bidi w:val="0"/>
        <w:spacing w:before="0" w:beforeAutospacing="0" w:after="0" w:afterAutospacing="0" w:line="740" w:lineRule="exact"/>
        <w:ind w:right="0"/>
        <w:jc w:val="both"/>
        <w:textAlignment w:val="auto"/>
        <w:rPr>
          <w:rFonts w:hint="eastAsia" w:ascii="楷体_GB2312" w:hAnsi="楷体_GB2312" w:eastAsia="楷体_GB2312" w:cs="楷体_GB2312"/>
          <w:bCs/>
          <w:color w:val="auto"/>
          <w:kern w:val="2"/>
          <w:sz w:val="32"/>
          <w:szCs w:val="32"/>
          <w:highlight w:val="none"/>
          <w:lang w:val="en-US" w:eastAsia="zh-CN" w:bidi="ar-SA"/>
        </w:rPr>
      </w:pPr>
      <w:bookmarkStart w:id="27" w:name="_Toc5593_WPSOffice_Level2"/>
      <w:r>
        <w:rPr>
          <w:rFonts w:hint="eastAsia" w:ascii="楷体_GB2312" w:hAnsi="楷体_GB2312" w:eastAsia="楷体_GB2312" w:cs="楷体_GB2312"/>
          <w:bCs/>
          <w:color w:val="auto"/>
          <w:sz w:val="32"/>
          <w:szCs w:val="32"/>
          <w:highlight w:val="none"/>
        </w:rPr>
        <w:t>（一）</w:t>
      </w:r>
      <w:r>
        <w:rPr>
          <w:rFonts w:hint="eastAsia" w:ascii="楷体_GB2312" w:hAnsi="楷体_GB2312" w:eastAsia="楷体_GB2312" w:cs="楷体_GB2312"/>
          <w:bCs/>
          <w:color w:val="auto"/>
          <w:kern w:val="2"/>
          <w:sz w:val="32"/>
          <w:szCs w:val="32"/>
          <w:highlight w:val="none"/>
          <w:lang w:val="en-US" w:eastAsia="zh-CN" w:bidi="ar-SA"/>
        </w:rPr>
        <w:t>单位主要职能</w:t>
      </w:r>
      <w:bookmarkEnd w:id="27"/>
      <w:r>
        <w:rPr>
          <w:rFonts w:hint="eastAsia" w:ascii="楷体_GB2312" w:hAnsi="楷体_GB2312" w:eastAsia="楷体_GB2312" w:cs="楷体_GB2312"/>
          <w:bCs/>
          <w:color w:val="auto"/>
          <w:kern w:val="2"/>
          <w:sz w:val="32"/>
          <w:szCs w:val="32"/>
          <w:highlight w:val="none"/>
          <w:lang w:val="en-US" w:eastAsia="zh-CN" w:bidi="ar-SA"/>
        </w:rPr>
        <w:t>：</w:t>
      </w:r>
      <w:bookmarkStart w:id="28" w:name="_Toc21484_WPSOffice_Level2"/>
    </w:p>
    <w:p>
      <w:pPr>
        <w:pStyle w:val="2"/>
        <w:keepNext w:val="0"/>
        <w:keepLines w:val="0"/>
        <w:pageBreakBefore w:val="0"/>
        <w:kinsoku/>
        <w:wordWrap/>
        <w:overflowPunct/>
        <w:topLinePunct w:val="0"/>
        <w:autoSpaceDE/>
        <w:autoSpaceDN/>
        <w:bidi w:val="0"/>
        <w:spacing w:beforeAutospacing="0" w:afterAutospacing="0" w:line="740" w:lineRule="exact"/>
        <w:ind w:firstLine="578" w:firstLineChars="200"/>
        <w:textAlignment w:val="auto"/>
        <w:rPr>
          <w:rFonts w:hint="eastAsia" w:ascii="仿宋" w:hAnsi="仿宋" w:eastAsia="仿宋" w:cs="仿宋"/>
          <w:b w:val="0"/>
          <w:bCs/>
          <w:color w:val="auto"/>
          <w:spacing w:val="0"/>
          <w:position w:val="0"/>
          <w:sz w:val="30"/>
          <w:szCs w:val="30"/>
          <w:shd w:val="clear" w:fill="auto"/>
          <w:lang w:eastAsia="zh-CN"/>
        </w:rPr>
      </w:pPr>
      <w:r>
        <w:rPr>
          <w:rFonts w:hint="eastAsia" w:ascii="仿宋" w:hAnsi="仿宋" w:eastAsia="仿宋" w:cs="仿宋"/>
          <w:b w:val="0"/>
          <w:bCs/>
          <w:color w:val="auto"/>
          <w:spacing w:val="0"/>
          <w:position w:val="0"/>
          <w:sz w:val="30"/>
          <w:szCs w:val="30"/>
          <w:shd w:val="clear" w:fill="auto"/>
          <w:lang w:eastAsia="zh-CN"/>
        </w:rPr>
        <w:t>市科协职能职责涉密，不予公开。</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740" w:lineRule="exact"/>
        <w:ind w:left="-618" w:leftChars="0" w:firstLine="618" w:firstLineChars="0"/>
        <w:textAlignment w:val="auto"/>
        <w:rPr>
          <w:rFonts w:hint="eastAsia" w:ascii="仿宋" w:eastAsia="仿宋" w:cs="仿宋_GB2312"/>
          <w:sz w:val="30"/>
          <w:szCs w:val="30"/>
          <w:lang w:eastAsia="zh-CN"/>
        </w:rPr>
      </w:pPr>
      <w:r>
        <w:rPr>
          <w:rFonts w:hint="eastAsia" w:ascii="楷体_GB2312" w:hAnsi="楷体_GB2312" w:eastAsia="楷体_GB2312" w:cs="楷体_GB2312"/>
          <w:b w:val="0"/>
          <w:bCs w:val="0"/>
          <w:color w:val="auto"/>
          <w:kern w:val="2"/>
          <w:sz w:val="32"/>
          <w:szCs w:val="32"/>
          <w:highlight w:val="none"/>
          <w:lang w:val="en-US" w:eastAsia="zh-CN" w:bidi="ar-SA"/>
        </w:rPr>
        <w:t>单位机构设置</w:t>
      </w:r>
      <w:bookmarkEnd w:id="28"/>
      <w:r>
        <w:rPr>
          <w:rFonts w:hint="eastAsia" w:ascii="楷体_GB2312" w:hAnsi="楷体_GB2312" w:eastAsia="楷体_GB2312" w:cs="楷体_GB2312"/>
          <w:b w:val="0"/>
          <w:bCs w:val="0"/>
          <w:color w:val="auto"/>
          <w:kern w:val="2"/>
          <w:sz w:val="32"/>
          <w:szCs w:val="32"/>
          <w:highlight w:val="none"/>
          <w:lang w:val="en-US" w:eastAsia="zh-CN" w:bidi="ar-SA"/>
        </w:rPr>
        <w:t>：</w:t>
      </w:r>
      <w:r>
        <w:rPr>
          <w:rFonts w:hint="eastAsia" w:ascii="仿宋" w:eastAsia="仿宋" w:cs="仿宋_GB2312"/>
          <w:sz w:val="30"/>
          <w:szCs w:val="30"/>
        </w:rPr>
        <w:t>贵阳市科学技术协会本级是中共贵阳市委领导</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leftChars="0" w:firstLine="289" w:firstLineChars="100"/>
        <w:textAlignment w:val="auto"/>
        <w:rPr>
          <w:rFonts w:hint="eastAsia" w:ascii="仿宋" w:eastAsia="仿宋" w:cs="仿宋_GB2312"/>
          <w:sz w:val="30"/>
          <w:szCs w:val="30"/>
          <w:lang w:eastAsia="zh-CN"/>
        </w:rPr>
      </w:pPr>
      <w:r>
        <w:rPr>
          <w:rFonts w:hint="eastAsia" w:ascii="仿宋" w:eastAsia="仿宋" w:cs="仿宋_GB2312"/>
          <w:sz w:val="30"/>
          <w:szCs w:val="30"/>
        </w:rPr>
        <w:t>下的人民团体，为参照公务员管理事业单位</w:t>
      </w:r>
      <w:r>
        <w:rPr>
          <w:rFonts w:hint="eastAsia" w:ascii="仿宋" w:eastAsia="仿宋" w:cs="仿宋_GB2312"/>
          <w:sz w:val="30"/>
          <w:szCs w:val="3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leftChars="0" w:firstLine="578" w:firstLineChars="200"/>
        <w:textAlignment w:val="auto"/>
        <w:rPr>
          <w:rFonts w:hint="eastAsia" w:ascii="仿宋" w:eastAsia="仿宋" w:cs="仿宋_GB2312"/>
          <w:sz w:val="30"/>
          <w:szCs w:val="30"/>
        </w:rPr>
      </w:pPr>
      <w:r>
        <w:rPr>
          <w:rFonts w:hint="eastAsia" w:ascii="仿宋" w:eastAsia="仿宋" w:cs="仿宋_GB2312"/>
          <w:sz w:val="30"/>
          <w:szCs w:val="30"/>
        </w:rPr>
        <w:t>贵阳市科学技术协会具体由7个部室构成，分别为办公室、组织人事部、科学技术普及部、宣传文化部、科学技术创新部、规划发展合作部、学会党建办公室（机关党建办公室）。</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740" w:lineRule="exact"/>
        <w:ind w:left="-618" w:leftChars="0" w:firstLine="618" w:firstLineChars="0"/>
        <w:textAlignment w:val="auto"/>
        <w:rPr>
          <w:rFonts w:hint="eastAsia" w:ascii="楷体_GB2312" w:hAnsi="楷体_GB2312" w:eastAsia="楷体_GB2312" w:cs="楷体_GB2312"/>
          <w:bCs/>
          <w:color w:val="auto"/>
          <w:sz w:val="32"/>
          <w:szCs w:val="32"/>
          <w:highlight w:val="none"/>
          <w:lang w:eastAsia="zh-CN"/>
        </w:rPr>
      </w:pPr>
      <w:bookmarkStart w:id="29" w:name="_Toc971_WPSOffice_Level2"/>
      <w:r>
        <w:rPr>
          <w:rFonts w:hint="eastAsia" w:ascii="楷体_GB2312" w:hAnsi="楷体_GB2312" w:eastAsia="楷体_GB2312" w:cs="楷体_GB2312"/>
          <w:bCs/>
          <w:color w:val="auto"/>
          <w:sz w:val="32"/>
          <w:szCs w:val="32"/>
          <w:highlight w:val="none"/>
        </w:rPr>
        <w:t>预算单位构成</w:t>
      </w:r>
      <w:bookmarkEnd w:id="29"/>
      <w:bookmarkStart w:id="30" w:name="_Toc23641_WPSOffice_Level2"/>
      <w:r>
        <w:rPr>
          <w:rFonts w:hint="eastAsia" w:ascii="楷体_GB2312" w:hAnsi="楷体_GB2312" w:eastAsia="楷体_GB2312" w:cs="楷体_GB2312"/>
          <w:bCs/>
          <w:color w:val="auto"/>
          <w:sz w:val="32"/>
          <w:szCs w:val="32"/>
          <w:highlight w:val="none"/>
          <w:lang w:eastAsia="zh-CN"/>
        </w:rPr>
        <w:t>：</w:t>
      </w:r>
    </w:p>
    <w:p>
      <w:pPr>
        <w:pStyle w:val="2"/>
        <w:numPr>
          <w:ilvl w:val="0"/>
          <w:numId w:val="0"/>
        </w:numPr>
        <w:ind w:leftChars="200" w:firstLine="289" w:firstLineChars="100"/>
        <w:rPr>
          <w:rFonts w:hint="eastAsia" w:eastAsia="宋体"/>
          <w:lang w:eastAsia="zh-CN"/>
        </w:rPr>
      </w:pPr>
      <w:r>
        <w:rPr>
          <w:rFonts w:hint="eastAsia" w:ascii="仿宋" w:hAnsi="仿宋" w:eastAsia="仿宋" w:cs="仿宋"/>
          <w:b w:val="0"/>
          <w:bCs/>
          <w:sz w:val="30"/>
          <w:szCs w:val="30"/>
          <w:lang w:eastAsia="zh-CN"/>
        </w:rPr>
        <w:t>本预算为贵阳市科学技术协会本级预算</w:t>
      </w:r>
    </w:p>
    <w:p>
      <w:pPr>
        <w:pStyle w:val="22"/>
        <w:keepNext w:val="0"/>
        <w:keepLines w:val="0"/>
        <w:pageBreakBefore w:val="0"/>
        <w:numPr>
          <w:ilvl w:val="0"/>
          <w:numId w:val="1"/>
        </w:numPr>
        <w:kinsoku/>
        <w:wordWrap/>
        <w:overflowPunct w:val="0"/>
        <w:topLinePunct w:val="0"/>
        <w:autoSpaceDE/>
        <w:autoSpaceDN/>
        <w:bidi w:val="0"/>
        <w:spacing w:before="0" w:beforeAutospacing="0" w:after="0" w:afterAutospacing="0" w:line="740" w:lineRule="exact"/>
        <w:ind w:left="-618" w:leftChars="0" w:firstLine="618" w:firstLineChars="0"/>
        <w:textAlignment w:val="auto"/>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单位</w:t>
      </w:r>
      <w:r>
        <w:rPr>
          <w:rFonts w:hint="eastAsia" w:ascii="楷体_GB2312" w:hAnsi="楷体_GB2312" w:eastAsia="楷体_GB2312" w:cs="楷体_GB2312"/>
          <w:bCs/>
          <w:color w:val="auto"/>
          <w:sz w:val="32"/>
          <w:szCs w:val="32"/>
          <w:highlight w:val="none"/>
        </w:rPr>
        <w:t>人员构成</w:t>
      </w:r>
      <w:r>
        <w:rPr>
          <w:rFonts w:hint="eastAsia" w:ascii="楷体_GB2312" w:hAnsi="楷体_GB2312" w:eastAsia="楷体_GB2312" w:cs="楷体_GB2312"/>
          <w:bCs/>
          <w:color w:val="auto"/>
          <w:sz w:val="32"/>
          <w:szCs w:val="32"/>
          <w:highlight w:val="none"/>
          <w:lang w:eastAsia="zh-CN"/>
        </w:rPr>
        <w:t>：</w:t>
      </w:r>
      <w:bookmarkEnd w:id="30"/>
      <w:bookmarkStart w:id="31" w:name="_Toc5593_WPSOffice_Level1"/>
    </w:p>
    <w:p>
      <w:pPr>
        <w:pStyle w:val="22"/>
        <w:keepNext w:val="0"/>
        <w:keepLines w:val="0"/>
        <w:pageBreakBefore w:val="0"/>
        <w:numPr>
          <w:ilvl w:val="0"/>
          <w:numId w:val="0"/>
        </w:numPr>
        <w:kinsoku/>
        <w:wordWrap/>
        <w:overflowPunct w:val="0"/>
        <w:topLinePunct w:val="0"/>
        <w:autoSpaceDE/>
        <w:autoSpaceDN/>
        <w:bidi w:val="0"/>
        <w:spacing w:before="0" w:beforeAutospacing="0" w:after="0" w:afterAutospacing="0" w:line="740" w:lineRule="exact"/>
        <w:ind w:firstLine="578" w:firstLineChars="200"/>
        <w:textAlignment w:val="auto"/>
        <w:rPr>
          <w:rFonts w:hint="eastAsia" w:ascii="仿宋" w:hAnsi="仿宋" w:eastAsia="仿宋" w:cs="仿宋"/>
          <w:color w:val="auto"/>
          <w:spacing w:val="0"/>
          <w:position w:val="0"/>
          <w:sz w:val="30"/>
          <w:szCs w:val="30"/>
          <w:shd w:val="clear" w:fill="auto"/>
        </w:rPr>
      </w:pPr>
      <w:r>
        <w:rPr>
          <w:rFonts w:hint="eastAsia" w:ascii="仿宋" w:eastAsia="仿宋" w:cs="仿宋_GB2312"/>
          <w:sz w:val="30"/>
          <w:szCs w:val="30"/>
        </w:rPr>
        <w:t>贵阳市科学技术协会本级：参照公务员管理编制数23人，截至202</w:t>
      </w:r>
      <w:r>
        <w:rPr>
          <w:rFonts w:hint="eastAsia" w:ascii="仿宋" w:eastAsia="仿宋" w:cs="仿宋_GB2312"/>
          <w:sz w:val="30"/>
          <w:szCs w:val="30"/>
          <w:lang w:val="en-US" w:eastAsia="zh-CN"/>
        </w:rPr>
        <w:t>4</w:t>
      </w:r>
      <w:r>
        <w:rPr>
          <w:rFonts w:hint="eastAsia" w:ascii="仿宋" w:eastAsia="仿宋" w:cs="仿宋_GB2312"/>
          <w:sz w:val="30"/>
          <w:szCs w:val="30"/>
        </w:rPr>
        <w:t>年12月31日，实有在职人员2</w:t>
      </w:r>
      <w:r>
        <w:rPr>
          <w:rFonts w:hint="eastAsia" w:ascii="仿宋" w:eastAsia="仿宋" w:cs="仿宋_GB2312"/>
          <w:sz w:val="30"/>
          <w:szCs w:val="30"/>
          <w:lang w:val="en-US" w:eastAsia="zh-CN"/>
        </w:rPr>
        <w:t>3</w:t>
      </w:r>
      <w:r>
        <w:rPr>
          <w:rFonts w:hint="eastAsia" w:ascii="仿宋" w:eastAsia="仿宋" w:cs="仿宋_GB2312"/>
          <w:sz w:val="30"/>
          <w:szCs w:val="30"/>
        </w:rPr>
        <w:t>人（其中：参公事业编制2</w:t>
      </w:r>
      <w:r>
        <w:rPr>
          <w:rFonts w:hint="eastAsia" w:ascii="仿宋" w:eastAsia="仿宋" w:cs="仿宋_GB2312"/>
          <w:sz w:val="30"/>
          <w:szCs w:val="30"/>
          <w:lang w:val="en-US" w:eastAsia="zh-CN"/>
        </w:rPr>
        <w:t>3</w:t>
      </w:r>
      <w:r>
        <w:rPr>
          <w:rFonts w:hint="eastAsia" w:ascii="仿宋" w:eastAsia="仿宋" w:cs="仿宋_GB2312"/>
          <w:sz w:val="30"/>
          <w:szCs w:val="30"/>
        </w:rPr>
        <w:t>人）、离休1人、退休2</w:t>
      </w:r>
      <w:r>
        <w:rPr>
          <w:rFonts w:hint="eastAsia" w:ascii="仿宋" w:eastAsia="仿宋" w:cs="仿宋_GB2312"/>
          <w:sz w:val="30"/>
          <w:szCs w:val="30"/>
          <w:lang w:val="en-US" w:eastAsia="zh-CN"/>
        </w:rPr>
        <w:t>2</w:t>
      </w:r>
      <w:r>
        <w:rPr>
          <w:rFonts w:hint="eastAsia" w:ascii="仿宋" w:eastAsia="仿宋" w:cs="仿宋_GB2312"/>
          <w:sz w:val="30"/>
          <w:szCs w:val="30"/>
        </w:rPr>
        <w:t>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二、</w:t>
      </w:r>
      <w:r>
        <w:rPr>
          <w:rFonts w:hint="eastAsia" w:ascii="黑体" w:hAnsi="黑体" w:eastAsia="黑体" w:cs="黑体"/>
          <w:bCs/>
          <w:color w:val="000000" w:themeColor="text1"/>
          <w:sz w:val="32"/>
          <w:szCs w:val="32"/>
          <w:highlight w:val="none"/>
          <w:lang w:eastAsia="zh-CN"/>
          <w14:textFill>
            <w14:solidFill>
              <w14:schemeClr w14:val="tx1"/>
            </w14:solidFill>
          </w14:textFill>
        </w:rPr>
        <w:t>单位</w:t>
      </w:r>
      <w:r>
        <w:rPr>
          <w:rFonts w:hint="eastAsia" w:ascii="黑体" w:hAnsi="黑体" w:eastAsia="黑体" w:cs="黑体"/>
          <w:bCs/>
          <w:color w:val="000000" w:themeColor="text1"/>
          <w:sz w:val="32"/>
          <w:szCs w:val="32"/>
          <w:highlight w:val="none"/>
          <w14:textFill>
            <w14:solidFill>
              <w14:schemeClr w14:val="tx1"/>
            </w14:solidFill>
          </w14:textFill>
        </w:rPr>
        <w:t>主要工作任务和政策依据</w:t>
      </w:r>
      <w:bookmarkEnd w:id="31"/>
    </w:p>
    <w:p>
      <w:pPr>
        <w:pStyle w:val="23"/>
        <w:keepNext w:val="0"/>
        <w:keepLines w:val="0"/>
        <w:pageBreakBefore w:val="0"/>
        <w:widowControl w:val="0"/>
        <w:kinsoku/>
        <w:wordWrap/>
        <w:overflowPunct/>
        <w:topLinePunct w:val="0"/>
        <w:autoSpaceDE/>
        <w:autoSpaceDN/>
        <w:bidi w:val="0"/>
        <w:adjustRightInd/>
        <w:snapToGrid/>
        <w:spacing w:beforeAutospacing="0" w:afterAutospacing="0" w:line="740" w:lineRule="exact"/>
        <w:jc w:val="both"/>
        <w:textAlignment w:val="auto"/>
        <w:rPr>
          <w:rFonts w:hint="eastAsia" w:ascii="黑体" w:hAnsi="黑体" w:eastAsia="黑体" w:cs="黑体"/>
          <w:bCs/>
          <w:color w:val="auto"/>
          <w:sz w:val="30"/>
          <w:szCs w:val="30"/>
          <w:highlight w:val="none"/>
        </w:rPr>
      </w:pPr>
      <w:r>
        <w:rPr>
          <w:rFonts w:hint="eastAsia" w:ascii="仿宋_GB2312" w:hAnsi="仿宋_GB2312" w:eastAsia="仿宋_GB2312" w:cs="仿宋_GB2312"/>
          <w:b w:val="0"/>
          <w:bCs w:val="0"/>
          <w:color w:val="auto"/>
          <w:kern w:val="0"/>
          <w:sz w:val="30"/>
          <w:szCs w:val="30"/>
          <w:u w:val="none"/>
          <w:lang w:val="en-US" w:eastAsia="zh-CN" w:bidi="ar-SA"/>
        </w:rPr>
        <w:t>2025年</w:t>
      </w:r>
      <w:r>
        <w:rPr>
          <w:rFonts w:hint="eastAsia" w:ascii="Times New Roman" w:hAnsi="Times New Roman" w:eastAsia="仿宋_GB2312" w:cs="Times New Roman"/>
          <w:b w:val="0"/>
          <w:bCs w:val="0"/>
          <w:color w:val="auto"/>
          <w:kern w:val="0"/>
          <w:sz w:val="30"/>
          <w:szCs w:val="30"/>
          <w:u w:val="none"/>
          <w:lang w:val="en-US" w:eastAsia="zh-CN" w:bidi="ar-SA"/>
        </w:rPr>
        <w:t>是落实“十四五”规划的收官之年，是推进中国式现代化贵阳贵安实践的奋进之年。总的工作要求是：继续深入学习贯彻习近平新时代中国特色社会主义思想、党的二十届三中全会、省委十三届五次全会和市委十一届九次全会精神，围绕中心、服务大局，</w:t>
      </w:r>
      <w:r>
        <w:rPr>
          <w:rFonts w:hint="default" w:ascii="Times New Roman" w:hAnsi="Times New Roman" w:eastAsia="仿宋_GB2312" w:cs="Times New Roman"/>
          <w:b w:val="0"/>
          <w:bCs w:val="0"/>
          <w:color w:val="auto"/>
          <w:kern w:val="0"/>
          <w:sz w:val="30"/>
          <w:szCs w:val="30"/>
          <w:u w:val="none"/>
          <w:lang w:val="en-US" w:eastAsia="zh-CN" w:bidi="ar-SA"/>
        </w:rPr>
        <w:t>守正创新、积极作为，</w:t>
      </w:r>
      <w:r>
        <w:rPr>
          <w:rFonts w:hint="eastAsia" w:ascii="Times New Roman" w:hAnsi="Times New Roman" w:eastAsia="仿宋_GB2312" w:cs="Times New Roman"/>
          <w:b w:val="0"/>
          <w:bCs w:val="0"/>
          <w:color w:val="auto"/>
          <w:kern w:val="0"/>
          <w:sz w:val="30"/>
          <w:szCs w:val="30"/>
          <w:u w:val="none"/>
          <w:lang w:val="en-US" w:eastAsia="zh-CN" w:bidi="ar-SA"/>
        </w:rPr>
        <w:t>有效发挥科协组织桥梁纽带作用，以改革创新精神进一步推动科协“四服务”工作落地见效。</w:t>
      </w:r>
      <w:bookmarkStart w:id="32" w:name="_Toc21484_WPSOffice_Level1"/>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三、部门预算安排情况说明</w:t>
      </w:r>
      <w:bookmarkEnd w:id="32"/>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本预算为本单位预算。</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bookmarkStart w:id="33" w:name="_Toc26334_WPSOffice_Level2"/>
      <w:r>
        <w:rPr>
          <w:rFonts w:hint="eastAsia" w:ascii="楷体_GB2312" w:hAnsi="楷体_GB2312" w:eastAsia="楷体_GB2312" w:cs="楷体_GB2312"/>
          <w:bCs/>
          <w:color w:val="auto"/>
          <w:sz w:val="32"/>
          <w:szCs w:val="32"/>
          <w:highlight w:val="none"/>
        </w:rPr>
        <w:t>（一）部门收支总体情况（详见</w:t>
      </w:r>
      <w:r>
        <w:rPr>
          <w:rFonts w:hint="eastAsia" w:ascii="楷体_GB2312" w:hAnsi="楷体_GB2312" w:eastAsia="楷体_GB2312" w:cs="楷体_GB2312"/>
          <w:bCs/>
          <w:color w:val="auto"/>
          <w:sz w:val="32"/>
          <w:szCs w:val="32"/>
          <w:highlight w:val="none"/>
          <w:lang w:eastAsia="zh-CN"/>
        </w:rPr>
        <w:t>附</w:t>
      </w:r>
      <w:r>
        <w:rPr>
          <w:rFonts w:hint="eastAsia" w:ascii="楷体_GB2312" w:hAnsi="楷体_GB2312" w:eastAsia="楷体_GB2312" w:cs="楷体_GB2312"/>
          <w:bCs/>
          <w:color w:val="auto"/>
          <w:sz w:val="32"/>
          <w:szCs w:val="32"/>
          <w:highlight w:val="none"/>
        </w:rPr>
        <w:t>表1</w:t>
      </w:r>
      <w:r>
        <w:rPr>
          <w:rFonts w:hint="eastAsia" w:ascii="楷体_GB2312" w:hAnsi="楷体_GB2312" w:eastAsia="楷体_GB2312" w:cs="楷体_GB2312"/>
          <w:bCs/>
          <w:color w:val="auto"/>
          <w:sz w:val="32"/>
          <w:szCs w:val="32"/>
          <w:highlight w:val="none"/>
          <w:lang w:val="en-US" w:eastAsia="zh-CN"/>
        </w:rPr>
        <w:t>-3</w:t>
      </w:r>
      <w:r>
        <w:rPr>
          <w:rFonts w:hint="eastAsia" w:ascii="楷体_GB2312" w:hAnsi="楷体_GB2312" w:eastAsia="楷体_GB2312" w:cs="楷体_GB2312"/>
          <w:bCs/>
          <w:color w:val="auto"/>
          <w:sz w:val="32"/>
          <w:szCs w:val="32"/>
          <w:highlight w:val="none"/>
        </w:rPr>
        <w:t>）</w:t>
      </w:r>
      <w:bookmarkEnd w:id="33"/>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收入预算总额</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color w:val="auto"/>
          <w:sz w:val="32"/>
          <w:szCs w:val="32"/>
          <w:highlight w:val="none"/>
        </w:rPr>
        <w:t>万元，其中：本年收入</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color w:val="auto"/>
          <w:sz w:val="32"/>
          <w:szCs w:val="32"/>
          <w:highlight w:val="none"/>
        </w:rPr>
        <w:t>万元。本年收入中：财政拨款收入</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支出预算总额</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color w:val="auto"/>
          <w:sz w:val="32"/>
          <w:szCs w:val="32"/>
          <w:highlight w:val="none"/>
        </w:rPr>
        <w:t>万元，其中：本年支出</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color w:val="auto"/>
          <w:sz w:val="32"/>
          <w:szCs w:val="32"/>
          <w:highlight w:val="none"/>
        </w:rPr>
        <w:t>万元。本年支出中：</w:t>
      </w:r>
      <w:r>
        <w:rPr>
          <w:rFonts w:hint="eastAsia" w:ascii="仿宋_GB2312" w:hAnsi="仿宋_GB2312" w:eastAsia="仿宋_GB2312" w:cs="仿宋_GB2312"/>
          <w:bCs/>
          <w:color w:val="auto"/>
          <w:sz w:val="32"/>
          <w:szCs w:val="32"/>
          <w:highlight w:val="none"/>
          <w:lang w:eastAsia="zh-CN"/>
        </w:rPr>
        <w:t>科学技术</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544.85</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社会保障</w:t>
      </w:r>
      <w:bookmarkStart w:id="51" w:name="_GoBack"/>
      <w:bookmarkEnd w:id="51"/>
      <w:r>
        <w:rPr>
          <w:rFonts w:hint="eastAsia" w:ascii="仿宋_GB2312" w:hAnsi="仿宋_GB2312" w:eastAsia="仿宋_GB2312" w:cs="仿宋_GB2312"/>
          <w:bCs/>
          <w:color w:val="auto"/>
          <w:sz w:val="32"/>
          <w:szCs w:val="32"/>
          <w:highlight w:val="none"/>
          <w:lang w:eastAsia="zh-CN"/>
        </w:rPr>
        <w:t>和就业</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183.34</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卫生健康</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35.52</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住房保障</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41.47</w:t>
      </w:r>
      <w:r>
        <w:rPr>
          <w:rFonts w:hint="eastAsia" w:ascii="仿宋_GB2312" w:hAnsi="仿宋_GB2312" w:eastAsia="仿宋_GB2312" w:cs="仿宋_GB2312"/>
          <w:bCs/>
          <w:color w:val="auto"/>
          <w:sz w:val="32"/>
          <w:szCs w:val="32"/>
          <w:highlight w:val="none"/>
        </w:rPr>
        <w:t>万元</w:t>
      </w:r>
      <w:r>
        <w:rPr>
          <w:rFonts w:hint="eastAsia" w:ascii="Times New Roman" w:hAnsi="Times New Roman" w:eastAsia="仿宋_GB2312" w:cs="Times New Roman"/>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收入预算总额比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481.95</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37.44</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w:t>
      </w:r>
      <w:r>
        <w:rPr>
          <w:rFonts w:hint="eastAsia" w:ascii="仿宋_GB2312" w:hAnsi="仿宋_GB2312" w:eastAsia="仿宋_GB2312" w:cs="仿宋_GB2312"/>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支出预算总额比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w:t>
      </w:r>
      <w:bookmarkStart w:id="34" w:name="_Toc25780_WPSOffice_Level2"/>
      <w:r>
        <w:rPr>
          <w:rFonts w:hint="eastAsia" w:ascii="仿宋_GB2312" w:hAnsi="仿宋_GB2312" w:eastAsia="仿宋_GB2312" w:cs="仿宋_GB2312"/>
          <w:bCs/>
          <w:color w:val="auto"/>
          <w:sz w:val="32"/>
          <w:szCs w:val="32"/>
          <w:highlight w:val="none"/>
          <w:lang w:val="en-US" w:eastAsia="zh-CN"/>
        </w:rPr>
        <w:t>481.95</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37.44</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w:t>
      </w:r>
      <w:r>
        <w:rPr>
          <w:rFonts w:hint="eastAsia" w:ascii="仿宋_GB2312" w:hAnsi="仿宋_GB2312" w:eastAsia="仿宋_GB2312" w:cs="仿宋_GB2312"/>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二</w:t>
      </w:r>
      <w:r>
        <w:rPr>
          <w:rFonts w:hint="eastAsia" w:ascii="楷体_GB2312" w:hAnsi="楷体_GB2312" w:eastAsia="楷体_GB2312" w:cs="楷体_GB2312"/>
          <w:bCs/>
          <w:color w:val="auto"/>
          <w:sz w:val="32"/>
          <w:szCs w:val="32"/>
          <w:highlight w:val="none"/>
        </w:rPr>
        <w:t>）财政拨款收支总体情况（详见表4）</w:t>
      </w:r>
      <w:bookmarkEnd w:id="34"/>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sz w:val="32"/>
          <w:szCs w:val="32"/>
          <w:highlight w:val="none"/>
        </w:rPr>
        <w:t>财政拨款收入预算</w:t>
      </w:r>
      <w:r>
        <w:rPr>
          <w:rFonts w:hint="eastAsia" w:ascii="仿宋_GB2312" w:hAnsi="仿宋_GB2312" w:eastAsia="仿宋_GB2312" w:cs="仿宋_GB2312"/>
          <w:bCs/>
          <w:sz w:val="32"/>
          <w:szCs w:val="32"/>
          <w:highlight w:val="none"/>
        </w:rPr>
        <w:t>总额</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sz w:val="32"/>
          <w:szCs w:val="32"/>
          <w:highlight w:val="none"/>
        </w:rPr>
        <w:t>万元，其中：本年收入</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sz w:val="32"/>
          <w:szCs w:val="32"/>
          <w:highlight w:val="none"/>
        </w:rPr>
        <w:t>万元。本年收入中：一般公共预算拨款收入</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bCs/>
          <w:sz w:val="32"/>
          <w:szCs w:val="32"/>
          <w:highlight w:val="none"/>
        </w:rPr>
        <w:t>万元。</w:t>
      </w:r>
      <w:r>
        <w:rPr>
          <w:rFonts w:hint="eastAsia" w:ascii="仿宋_GB2312" w:hAnsi="仿宋_GB2312" w:eastAsia="仿宋_GB2312" w:cs="仿宋_GB2312"/>
          <w:bCs/>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sz w:val="32"/>
          <w:szCs w:val="32"/>
          <w:highlight w:val="none"/>
        </w:rPr>
        <w:t>财政拨款支出预算总额</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sz w:val="32"/>
          <w:szCs w:val="32"/>
          <w:highlight w:val="none"/>
        </w:rPr>
        <w:t>万元，其中：</w:t>
      </w:r>
      <w:r>
        <w:rPr>
          <w:rFonts w:hint="eastAsia" w:ascii="仿宋_GB2312" w:hAnsi="仿宋_GB2312" w:eastAsia="仿宋_GB2312" w:cs="仿宋_GB2312"/>
          <w:sz w:val="32"/>
          <w:szCs w:val="32"/>
          <w:highlight w:val="none"/>
          <w:lang w:eastAsia="zh-CN"/>
        </w:rPr>
        <w:t>科学技术</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544.85</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社会保障和就业</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183.34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卫生健康</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35.52</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、住房保障支出</w:t>
      </w:r>
      <w:r>
        <w:rPr>
          <w:rFonts w:hint="eastAsia" w:ascii="仿宋_GB2312" w:hAnsi="仿宋_GB2312" w:eastAsia="仿宋_GB2312" w:cs="仿宋_GB2312"/>
          <w:sz w:val="32"/>
          <w:szCs w:val="32"/>
          <w:highlight w:val="none"/>
          <w:lang w:val="en-US" w:eastAsia="zh-CN"/>
        </w:rPr>
        <w:t>41.47万元</w:t>
      </w:r>
      <w:r>
        <w:rPr>
          <w:rFonts w:hint="eastAsia" w:ascii="仿宋_GB2312" w:hAnsi="仿宋_GB2312" w:eastAsia="仿宋_GB2312" w:cs="仿宋_GB2312"/>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sz w:val="32"/>
          <w:szCs w:val="32"/>
          <w:highlight w:val="none"/>
        </w:rPr>
        <w:t>财政拨款收支预算总额均为</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sz w:val="32"/>
          <w:szCs w:val="32"/>
          <w:highlight w:val="none"/>
        </w:rPr>
        <w:t>万元，</w:t>
      </w:r>
      <w:bookmarkStart w:id="35" w:name="_Toc17711_WPSOffice_Level2"/>
      <w:r>
        <w:rPr>
          <w:rFonts w:hint="eastAsia" w:ascii="仿宋_GB2312" w:hAnsi="仿宋_GB2312" w:eastAsia="仿宋_GB2312" w:cs="仿宋_GB2312"/>
          <w:bCs/>
          <w:color w:val="auto"/>
          <w:sz w:val="32"/>
          <w:szCs w:val="32"/>
          <w:highlight w:val="none"/>
        </w:rPr>
        <w:t>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403.12</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33.36</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w:t>
      </w:r>
      <w:r>
        <w:rPr>
          <w:rFonts w:hint="eastAsia" w:ascii="仿宋_GB2312" w:hAnsi="仿宋_GB2312" w:eastAsia="仿宋_GB2312" w:cs="仿宋_GB2312"/>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三</w:t>
      </w:r>
      <w:r>
        <w:rPr>
          <w:rFonts w:hint="eastAsia" w:ascii="楷体_GB2312" w:hAnsi="楷体_GB2312" w:eastAsia="楷体_GB2312" w:cs="楷体_GB2312"/>
          <w:bCs/>
          <w:color w:val="auto"/>
          <w:sz w:val="32"/>
          <w:szCs w:val="32"/>
          <w:highlight w:val="none"/>
        </w:rPr>
        <w:t>）一般公共预算支出情况（详见表5）</w:t>
      </w:r>
      <w:bookmarkEnd w:id="35"/>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sz w:val="32"/>
          <w:szCs w:val="32"/>
          <w:lang w:val="en-US" w:eastAsia="zh-CN"/>
        </w:rPr>
      </w:pPr>
      <w:bookmarkStart w:id="36" w:name="_Toc16188_WPSOffice_Level2"/>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sz w:val="32"/>
          <w:szCs w:val="32"/>
          <w:highlight w:val="none"/>
        </w:rPr>
        <w:t>财政拨款支出预算总额</w:t>
      </w:r>
      <w:r>
        <w:rPr>
          <w:rFonts w:hint="eastAsia" w:ascii="仿宋_GB2312" w:hAnsi="仿宋_GB2312" w:eastAsia="仿宋_GB2312" w:cs="仿宋_GB2312"/>
          <w:bCs/>
          <w:color w:val="auto"/>
          <w:sz w:val="32"/>
          <w:szCs w:val="32"/>
          <w:highlight w:val="none"/>
          <w:lang w:val="en-US" w:eastAsia="zh-CN"/>
        </w:rPr>
        <w:t>805.18</w:t>
      </w:r>
      <w:r>
        <w:rPr>
          <w:rFonts w:hint="eastAsia" w:ascii="仿宋_GB2312" w:hAnsi="仿宋_GB2312" w:eastAsia="仿宋_GB2312" w:cs="仿宋_GB2312"/>
          <w:sz w:val="32"/>
          <w:szCs w:val="32"/>
          <w:highlight w:val="none"/>
        </w:rPr>
        <w:t>万元，其中：</w:t>
      </w:r>
      <w:r>
        <w:rPr>
          <w:rFonts w:hint="eastAsia" w:ascii="仿宋_GB2312" w:hAnsi="仿宋_GB2312" w:eastAsia="仿宋_GB2312" w:cs="仿宋_GB2312"/>
          <w:sz w:val="32"/>
          <w:szCs w:val="32"/>
          <w:highlight w:val="none"/>
          <w:lang w:eastAsia="zh-CN"/>
        </w:rPr>
        <w:t>基</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626.18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（包含人员经费</w:t>
      </w:r>
      <w:r>
        <w:rPr>
          <w:rFonts w:hint="eastAsia" w:ascii="仿宋_GB2312" w:hAnsi="仿宋_GB2312" w:eastAsia="仿宋_GB2312" w:cs="仿宋_GB2312"/>
          <w:sz w:val="32"/>
          <w:szCs w:val="32"/>
          <w:lang w:val="en-US" w:eastAsia="zh-CN"/>
        </w:rPr>
        <w:t>570.98万元，其中：2060701机构运行313.47万元、2080501机关单位离退休177.02万元、工资福利支出435.08万元、2101101行政单位医疗35.52万元、2101103公务员医疗补助14.81万元、2210201住房公积金41.47万元、公用经费55.2万元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项目经费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154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（包含</w:t>
      </w:r>
      <w:r>
        <w:rPr>
          <w:rFonts w:hint="eastAsia" w:ascii="仿宋_GB2312" w:hAnsi="仿宋_GB2312" w:eastAsia="仿宋_GB2312" w:cs="仿宋_GB2312"/>
          <w:sz w:val="32"/>
          <w:szCs w:val="32"/>
          <w:lang w:val="en-US" w:eastAsia="zh-CN"/>
        </w:rPr>
        <w:t>2060702科普活动115万元、2060705科技馆站39万元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sz w:val="32"/>
          <w:szCs w:val="32"/>
        </w:rPr>
        <w:t>财政拨款</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预算总额均为</w:t>
      </w:r>
      <w:r>
        <w:rPr>
          <w:rFonts w:hint="eastAsia" w:ascii="仿宋_GB2312" w:hAnsi="仿宋_GB2312" w:eastAsia="仿宋_GB2312" w:cs="仿宋_GB2312"/>
          <w:bCs/>
          <w:color w:val="auto"/>
          <w:sz w:val="32"/>
          <w:szCs w:val="32"/>
          <w:highlight w:val="none"/>
          <w:lang w:val="en-US" w:eastAsia="zh-CN"/>
        </w:rPr>
        <w:t>780.18</w:t>
      </w:r>
      <w:r>
        <w:rPr>
          <w:rFonts w:hint="eastAsia" w:ascii="仿宋_GB2312" w:hAnsi="仿宋_GB2312" w:eastAsia="仿宋_GB2312" w:cs="仿宋_GB2312"/>
          <w:sz w:val="32"/>
          <w:szCs w:val="32"/>
        </w:rPr>
        <w:t>万元，</w:t>
      </w:r>
      <w:r>
        <w:rPr>
          <w:rFonts w:hint="eastAsia" w:ascii="仿宋_GB2312" w:hAnsi="仿宋_GB2312" w:eastAsia="仿宋_GB2312" w:cs="仿宋_GB2312"/>
          <w:bCs/>
          <w:color w:val="auto"/>
          <w:sz w:val="32"/>
          <w:szCs w:val="32"/>
          <w:highlight w:val="none"/>
        </w:rPr>
        <w:t>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506.95</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39.39</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w:t>
      </w:r>
      <w:r>
        <w:rPr>
          <w:rFonts w:hint="eastAsia" w:ascii="仿宋_GB2312" w:hAnsi="仿宋_GB2312" w:eastAsia="仿宋_GB2312" w:cs="仿宋_GB2312"/>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四</w:t>
      </w:r>
      <w:r>
        <w:rPr>
          <w:rFonts w:hint="eastAsia" w:ascii="楷体_GB2312" w:hAnsi="楷体_GB2312" w:eastAsia="楷体_GB2312" w:cs="楷体_GB2312"/>
          <w:bCs/>
          <w:color w:val="auto"/>
          <w:sz w:val="32"/>
          <w:szCs w:val="32"/>
          <w:highlight w:val="none"/>
        </w:rPr>
        <w:t>）一般公共预算基本支出情况（详见表6、7）</w:t>
      </w:r>
      <w:bookmarkEnd w:id="36"/>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bCs/>
          <w:color w:val="auto"/>
          <w:sz w:val="32"/>
          <w:szCs w:val="32"/>
          <w:highlight w:val="none"/>
          <w:lang w:eastAsia="zh-CN"/>
        </w:rPr>
        <w:t>市科协</w:t>
      </w:r>
      <w:r>
        <w:rPr>
          <w:rFonts w:hint="eastAsia" w:ascii="楷体_GB2312" w:hAnsi="楷体_GB2312" w:eastAsia="楷体_GB2312" w:cs="楷体_GB2312"/>
          <w:bCs/>
          <w:color w:val="auto"/>
          <w:sz w:val="32"/>
          <w:szCs w:val="32"/>
          <w:highlight w:val="none"/>
        </w:rPr>
        <w:t>一般公共预算基本支出</w:t>
      </w:r>
      <w:r>
        <w:rPr>
          <w:rFonts w:hint="eastAsia" w:ascii="仿宋_GB2312" w:hAnsi="仿宋_GB2312" w:eastAsia="仿宋_GB2312" w:cs="仿宋_GB2312"/>
          <w:sz w:val="32"/>
          <w:szCs w:val="32"/>
        </w:rPr>
        <w:t>预算总额</w:t>
      </w:r>
      <w:r>
        <w:rPr>
          <w:rFonts w:hint="eastAsia" w:ascii="仿宋_GB2312" w:hAnsi="仿宋_GB2312" w:eastAsia="仿宋_GB2312" w:cs="仿宋_GB2312"/>
          <w:bCs/>
          <w:color w:val="auto"/>
          <w:sz w:val="32"/>
          <w:szCs w:val="32"/>
          <w:highlight w:val="none"/>
          <w:lang w:val="en-US" w:eastAsia="zh-CN"/>
        </w:rPr>
        <w:t>626.18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按照部门预算经济科目</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人员经费</w:t>
      </w:r>
      <w:r>
        <w:rPr>
          <w:rFonts w:hint="eastAsia" w:ascii="仿宋_GB2312" w:hAnsi="仿宋_GB2312" w:eastAsia="仿宋_GB2312" w:cs="仿宋_GB2312"/>
          <w:sz w:val="32"/>
          <w:szCs w:val="32"/>
          <w:lang w:val="en-US" w:eastAsia="zh-CN"/>
        </w:rPr>
        <w:t>570.98万元（包含30101基本工资112.19万元、30108机关养老保险支出45.33万元、30109职业年金缴费22.66万元、30239其他交通费用24.48万元、30301离休费16.39万元、30302退休费92.63万元等）、公用经费55,2万元（30201办公费33.71万元、30228工会经费4.84万元、30239其他交通费用2.45万元、30299其他商品服务支出6.7万元等）。</w:t>
      </w:r>
      <w:bookmarkStart w:id="37" w:name="_Toc16972_WPSOffice_Level2"/>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lang w:val="en-US" w:eastAsia="zh-CN"/>
        </w:rPr>
      </w:pPr>
      <w:r>
        <w:rPr>
          <w:rFonts w:hint="eastAsia" w:ascii="仿宋" w:hAnsi="仿宋" w:eastAsia="仿宋" w:cs="仿宋"/>
          <w:sz w:val="32"/>
          <w:szCs w:val="32"/>
          <w:lang w:val="en-US" w:eastAsia="zh-CN"/>
        </w:rPr>
        <w:t>按照政府预算经济科目其中：</w:t>
      </w:r>
      <w:r>
        <w:rPr>
          <w:rFonts w:hint="eastAsia" w:ascii="仿宋_GB2312" w:hAnsi="仿宋_GB2312" w:eastAsia="仿宋_GB2312" w:cs="仿宋_GB2312"/>
          <w:sz w:val="32"/>
          <w:szCs w:val="32"/>
          <w:lang w:eastAsia="zh-CN"/>
        </w:rPr>
        <w:t>人员经费</w:t>
      </w:r>
      <w:r>
        <w:rPr>
          <w:rFonts w:hint="eastAsia" w:ascii="仿宋_GB2312" w:hAnsi="仿宋_GB2312" w:eastAsia="仿宋_GB2312" w:cs="仿宋_GB2312"/>
          <w:sz w:val="32"/>
          <w:szCs w:val="32"/>
          <w:lang w:val="en-US" w:eastAsia="zh-CN"/>
        </w:rPr>
        <w:t>570.98万元（包含50101工资奖金津补贴288.99万元、50102社会保障缴费104.62万元、50103住房公积金41.47万元、50905离退休费109.02万元、50901社会福利救助2.4万元等）、公用经费55,2万元（50201办公费46.3万元、50206公务接待费0.27万元、50208公务用车运行维护费1.93万元等）。</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五</w:t>
      </w:r>
      <w:r>
        <w:rPr>
          <w:rFonts w:hint="eastAsia" w:ascii="楷体_GB2312" w:hAnsi="楷体_GB2312" w:eastAsia="楷体_GB2312" w:cs="楷体_GB2312"/>
          <w:bCs/>
          <w:color w:val="auto"/>
          <w:sz w:val="32"/>
          <w:szCs w:val="32"/>
          <w:highlight w:val="none"/>
        </w:rPr>
        <w:t>）政府性基金预算支出情况（详见表</w:t>
      </w:r>
      <w:r>
        <w:rPr>
          <w:rFonts w:hint="eastAsia" w:ascii="楷体_GB2312" w:hAnsi="楷体_GB2312" w:eastAsia="楷体_GB2312" w:cs="楷体_GB2312"/>
          <w:bCs/>
          <w:color w:val="auto"/>
          <w:sz w:val="32"/>
          <w:szCs w:val="32"/>
          <w:highlight w:val="none"/>
          <w:lang w:val="en-US" w:eastAsia="zh-CN"/>
        </w:rPr>
        <w:t>8</w:t>
      </w:r>
      <w:r>
        <w:rPr>
          <w:rFonts w:hint="eastAsia" w:ascii="楷体_GB2312" w:hAnsi="楷体_GB2312" w:eastAsia="楷体_GB2312" w:cs="楷体_GB2312"/>
          <w:bCs/>
          <w:color w:val="auto"/>
          <w:sz w:val="32"/>
          <w:szCs w:val="32"/>
          <w:highlight w:val="none"/>
        </w:rPr>
        <w:t>）</w:t>
      </w:r>
      <w:bookmarkEnd w:id="37"/>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无政府性基金支出。</w:t>
      </w:r>
      <w:bookmarkStart w:id="38" w:name="_Toc23139_WPSOffice_Level2"/>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b w:val="0"/>
          <w:bCs/>
          <w:color w:val="auto"/>
          <w:sz w:val="32"/>
          <w:szCs w:val="32"/>
          <w:highlight w:val="none"/>
        </w:rPr>
        <w:t>（</w:t>
      </w:r>
      <w:r>
        <w:rPr>
          <w:rFonts w:hint="eastAsia" w:ascii="楷体_GB2312" w:hAnsi="楷体_GB2312" w:eastAsia="楷体_GB2312" w:cs="楷体_GB2312"/>
          <w:b w:val="0"/>
          <w:bCs/>
          <w:color w:val="auto"/>
          <w:sz w:val="32"/>
          <w:szCs w:val="32"/>
          <w:highlight w:val="none"/>
          <w:lang w:eastAsia="zh-CN"/>
        </w:rPr>
        <w:t>六</w:t>
      </w:r>
      <w:r>
        <w:rPr>
          <w:rFonts w:hint="eastAsia" w:ascii="楷体_GB2312" w:hAnsi="楷体_GB2312" w:eastAsia="楷体_GB2312" w:cs="楷体_GB2312"/>
          <w:bCs/>
          <w:color w:val="auto"/>
          <w:sz w:val="32"/>
          <w:szCs w:val="32"/>
          <w:highlight w:val="none"/>
        </w:rPr>
        <w:t>）国有资本经营预算支出情况（详见表</w:t>
      </w:r>
      <w:r>
        <w:rPr>
          <w:rFonts w:hint="eastAsia" w:ascii="楷体_GB2312" w:hAnsi="楷体_GB2312" w:eastAsia="楷体_GB2312" w:cs="楷体_GB2312"/>
          <w:bCs/>
          <w:color w:val="auto"/>
          <w:sz w:val="32"/>
          <w:szCs w:val="32"/>
          <w:highlight w:val="none"/>
          <w:lang w:val="en-US" w:eastAsia="zh-CN"/>
        </w:rPr>
        <w:t>9</w:t>
      </w:r>
      <w:r>
        <w:rPr>
          <w:rFonts w:hint="eastAsia" w:ascii="楷体_GB2312" w:hAnsi="楷体_GB2312" w:eastAsia="楷体_GB2312" w:cs="楷体_GB2312"/>
          <w:bCs/>
          <w:color w:val="auto"/>
          <w:sz w:val="32"/>
          <w:szCs w:val="32"/>
          <w:highlight w:val="none"/>
        </w:rPr>
        <w:t>）</w:t>
      </w:r>
      <w:bookmarkEnd w:id="38"/>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市科协</w:t>
      </w:r>
      <w:r>
        <w:rPr>
          <w:rFonts w:hint="eastAsia" w:ascii="仿宋_GB2312" w:hAnsi="仿宋_GB2312" w:eastAsia="仿宋_GB2312" w:cs="仿宋_GB2312"/>
          <w:color w:val="auto"/>
          <w:sz w:val="32"/>
          <w:szCs w:val="32"/>
          <w:highlight w:val="none"/>
        </w:rPr>
        <w:t>无国有资本经营预算支出。</w:t>
      </w:r>
      <w:bookmarkStart w:id="39" w:name="_Toc3961_WPSOffice_Level2"/>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七</w:t>
      </w: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财政拨款</w:t>
      </w:r>
      <w:r>
        <w:rPr>
          <w:rFonts w:hint="eastAsia" w:ascii="楷体_GB2312" w:hAnsi="楷体_GB2312" w:eastAsia="楷体_GB2312" w:cs="楷体_GB2312"/>
          <w:bCs/>
          <w:color w:val="auto"/>
          <w:sz w:val="32"/>
          <w:szCs w:val="32"/>
          <w:highlight w:val="none"/>
        </w:rPr>
        <w:t>“三公”经费支出</w:t>
      </w:r>
      <w:r>
        <w:rPr>
          <w:rFonts w:hint="eastAsia" w:ascii="楷体_GB2312" w:hAnsi="楷体_GB2312" w:eastAsia="楷体_GB2312" w:cs="楷体_GB2312"/>
          <w:bCs/>
          <w:color w:val="auto"/>
          <w:sz w:val="32"/>
          <w:szCs w:val="32"/>
          <w:highlight w:val="none"/>
          <w:lang w:eastAsia="zh-CN"/>
        </w:rPr>
        <w:t>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10</w:t>
      </w:r>
      <w:r>
        <w:rPr>
          <w:rFonts w:hint="eastAsia" w:ascii="楷体_GB2312" w:hAnsi="楷体_GB2312" w:eastAsia="楷体_GB2312" w:cs="楷体_GB2312"/>
          <w:bCs/>
          <w:color w:val="auto"/>
          <w:sz w:val="32"/>
          <w:szCs w:val="32"/>
          <w:highlight w:val="none"/>
        </w:rPr>
        <w:t>）</w:t>
      </w:r>
      <w:bookmarkEnd w:id="39"/>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w:t>
      </w:r>
      <w:r>
        <w:rPr>
          <w:rFonts w:hint="eastAsia" w:ascii="仿宋_GB2312" w:hAnsi="仿宋_GB2312" w:eastAsia="仿宋_GB2312" w:cs="仿宋_GB2312"/>
          <w:bCs/>
          <w:color w:val="auto"/>
          <w:sz w:val="32"/>
          <w:szCs w:val="32"/>
          <w:highlight w:val="none"/>
        </w:rPr>
        <w:t>财政拨款安排“三公”经费</w:t>
      </w:r>
      <w:r>
        <w:rPr>
          <w:rFonts w:hint="eastAsia" w:ascii="仿宋_GB2312" w:hAnsi="仿宋_GB2312" w:eastAsia="仿宋_GB2312" w:cs="仿宋_GB2312"/>
          <w:bCs/>
          <w:color w:val="auto"/>
          <w:sz w:val="32"/>
          <w:szCs w:val="32"/>
          <w:highlight w:val="none"/>
          <w:lang w:val="en-US" w:eastAsia="zh-CN"/>
        </w:rPr>
        <w:t>2.2</w:t>
      </w:r>
      <w:r>
        <w:rPr>
          <w:rFonts w:hint="eastAsia" w:ascii="仿宋_GB2312" w:hAnsi="仿宋_GB2312" w:eastAsia="仿宋_GB2312" w:cs="仿宋_GB2312"/>
          <w:bCs/>
          <w:color w:val="auto"/>
          <w:sz w:val="32"/>
          <w:szCs w:val="32"/>
          <w:highlight w:val="none"/>
        </w:rPr>
        <w:t>万元，其中：一般公共预算安排“三公”经费</w:t>
      </w:r>
      <w:r>
        <w:rPr>
          <w:rFonts w:hint="eastAsia" w:ascii="仿宋_GB2312" w:hAnsi="仿宋_GB2312" w:eastAsia="仿宋_GB2312" w:cs="仿宋_GB2312"/>
          <w:bCs/>
          <w:color w:val="auto"/>
          <w:sz w:val="32"/>
          <w:szCs w:val="32"/>
          <w:highlight w:val="none"/>
          <w:lang w:val="en-US" w:eastAsia="zh-CN"/>
        </w:rPr>
        <w:t>2.2</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，与上年</w:t>
      </w:r>
      <w:r>
        <w:rPr>
          <w:rFonts w:hint="eastAsia" w:ascii="仿宋_GB2312" w:hAnsi="仿宋_GB2312" w:eastAsia="仿宋_GB2312" w:cs="仿宋_GB2312"/>
          <w:bCs/>
          <w:color w:val="auto"/>
          <w:sz w:val="32"/>
          <w:szCs w:val="32"/>
          <w:highlight w:val="none"/>
        </w:rPr>
        <w:t>同口径</w:t>
      </w:r>
      <w:r>
        <w:rPr>
          <w:rFonts w:hint="eastAsia" w:ascii="仿宋_GB2312" w:hAnsi="仿宋_GB2312" w:eastAsia="仿宋_GB2312" w:cs="仿宋_GB2312"/>
          <w:bCs/>
          <w:color w:val="auto"/>
          <w:sz w:val="32"/>
          <w:szCs w:val="32"/>
          <w:highlight w:val="none"/>
          <w:lang w:eastAsia="zh-CN"/>
        </w:rPr>
        <w:t>比较</w:t>
      </w:r>
      <w:r>
        <w:rPr>
          <w:rFonts w:hint="eastAsia" w:ascii="仿宋_GB2312" w:hAnsi="仿宋_GB2312" w:eastAsia="仿宋_GB2312" w:cs="仿宋_GB2312"/>
          <w:bCs/>
          <w:color w:val="auto"/>
          <w:sz w:val="32"/>
          <w:szCs w:val="32"/>
          <w:highlight w:val="none"/>
        </w:rPr>
        <w:t>，增减变化情况如下：</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年公务接待费</w:t>
      </w:r>
      <w:r>
        <w:rPr>
          <w:rFonts w:hint="eastAsia" w:ascii="仿宋_GB2312" w:hAnsi="仿宋_GB2312" w:eastAsia="仿宋_GB2312" w:cs="仿宋_GB2312"/>
          <w:bCs/>
          <w:color w:val="auto"/>
          <w:sz w:val="32"/>
          <w:szCs w:val="32"/>
          <w:highlight w:val="none"/>
          <w:lang w:val="en-US" w:eastAsia="zh-CN"/>
        </w:rPr>
        <w:t>0.27</w:t>
      </w:r>
      <w:r>
        <w:rPr>
          <w:rFonts w:hint="eastAsia" w:ascii="仿宋_GB2312" w:hAnsi="仿宋_GB2312" w:eastAsia="仿宋_GB2312" w:cs="仿宋_GB2312"/>
          <w:bCs/>
          <w:color w:val="auto"/>
          <w:sz w:val="32"/>
          <w:szCs w:val="32"/>
          <w:highlight w:val="none"/>
        </w:rPr>
        <w:t>万元，比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0.03</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10</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落实过紧日子要求。</w:t>
      </w:r>
      <w:r>
        <w:rPr>
          <w:rFonts w:hint="eastAsia" w:ascii="仿宋_GB2312" w:hAnsi="仿宋_GB2312" w:eastAsia="仿宋_GB2312" w:cs="仿宋_GB2312"/>
          <w:bCs/>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年公务用车运行维护费</w:t>
      </w:r>
      <w:r>
        <w:rPr>
          <w:rFonts w:hint="eastAsia" w:ascii="仿宋_GB2312" w:hAnsi="仿宋_GB2312" w:eastAsia="仿宋_GB2312" w:cs="仿宋_GB2312"/>
          <w:bCs/>
          <w:color w:val="auto"/>
          <w:sz w:val="32"/>
          <w:szCs w:val="32"/>
          <w:highlight w:val="none"/>
          <w:lang w:val="en-US" w:eastAsia="zh-CN"/>
        </w:rPr>
        <w:t>1.93</w:t>
      </w:r>
      <w:r>
        <w:rPr>
          <w:rFonts w:hint="eastAsia" w:ascii="仿宋_GB2312" w:hAnsi="仿宋_GB2312" w:eastAsia="仿宋_GB2312" w:cs="仿宋_GB2312"/>
          <w:bCs/>
          <w:color w:val="auto"/>
          <w:sz w:val="32"/>
          <w:szCs w:val="32"/>
          <w:highlight w:val="none"/>
        </w:rPr>
        <w:t>万元，与</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年预算数持平，无增减变动</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0" w:name="_Toc5267_WPSOffice_Level2"/>
      <w:r>
        <w:rPr>
          <w:rFonts w:hint="eastAsia" w:ascii="楷体_GB2312" w:hAnsi="楷体_GB2312" w:eastAsia="楷体_GB2312" w:cs="楷体_GB2312"/>
          <w:bCs/>
          <w:color w:val="auto"/>
          <w:sz w:val="32"/>
          <w:szCs w:val="32"/>
          <w:highlight w:val="none"/>
          <w:lang w:eastAsia="zh-CN"/>
        </w:rPr>
        <w:t>（八）部门政府采购预算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11</w:t>
      </w:r>
      <w:r>
        <w:rPr>
          <w:rFonts w:hint="eastAsia" w:ascii="楷体_GB2312" w:hAnsi="楷体_GB2312" w:eastAsia="楷体_GB2312" w:cs="楷体_GB2312"/>
          <w:bCs/>
          <w:color w:val="auto"/>
          <w:sz w:val="32"/>
          <w:szCs w:val="32"/>
          <w:highlight w:val="none"/>
        </w:rPr>
        <w:t>）</w:t>
      </w:r>
      <w:bookmarkEnd w:id="40"/>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市科协无</w:t>
      </w:r>
      <w:r>
        <w:rPr>
          <w:rFonts w:hint="eastAsia" w:ascii="仿宋_GB2312" w:hAnsi="仿宋_GB2312" w:eastAsia="仿宋_GB2312" w:cs="仿宋_GB2312"/>
          <w:bCs/>
          <w:color w:val="auto"/>
          <w:sz w:val="32"/>
          <w:szCs w:val="32"/>
          <w:highlight w:val="none"/>
        </w:rPr>
        <w:t>政府采购预算。</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1" w:name="_Toc740_WPSOffice_Level2"/>
      <w:r>
        <w:rPr>
          <w:rFonts w:hint="eastAsia" w:ascii="楷体_GB2312" w:hAnsi="楷体_GB2312" w:eastAsia="楷体_GB2312" w:cs="楷体_GB2312"/>
          <w:bCs/>
          <w:color w:val="auto"/>
          <w:sz w:val="32"/>
          <w:szCs w:val="32"/>
          <w:highlight w:val="none"/>
          <w:lang w:eastAsia="zh-CN"/>
        </w:rPr>
        <w:t>（九）</w:t>
      </w:r>
      <w:r>
        <w:rPr>
          <w:rFonts w:hint="eastAsia" w:ascii="楷体_GB2312" w:hAnsi="楷体_GB2312" w:eastAsia="楷体_GB2312" w:cs="楷体_GB2312"/>
          <w:bCs/>
          <w:color w:val="auto"/>
          <w:sz w:val="32"/>
          <w:szCs w:val="32"/>
          <w:highlight w:val="none"/>
        </w:rPr>
        <w:t>市对下转移支付</w:t>
      </w:r>
      <w:r>
        <w:rPr>
          <w:rFonts w:hint="eastAsia" w:ascii="楷体_GB2312" w:hAnsi="楷体_GB2312" w:eastAsia="楷体_GB2312" w:cs="楷体_GB2312"/>
          <w:bCs/>
          <w:color w:val="auto"/>
          <w:sz w:val="32"/>
          <w:szCs w:val="32"/>
          <w:highlight w:val="none"/>
          <w:lang w:eastAsia="zh-CN"/>
        </w:rPr>
        <w:t>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12</w:t>
      </w:r>
      <w:r>
        <w:rPr>
          <w:rFonts w:hint="eastAsia" w:ascii="楷体_GB2312" w:hAnsi="楷体_GB2312" w:eastAsia="楷体_GB2312" w:cs="楷体_GB2312"/>
          <w:bCs/>
          <w:color w:val="auto"/>
          <w:sz w:val="32"/>
          <w:szCs w:val="32"/>
          <w:highlight w:val="none"/>
        </w:rPr>
        <w:t>）</w:t>
      </w:r>
      <w:bookmarkEnd w:id="41"/>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市科协无</w:t>
      </w:r>
      <w:r>
        <w:rPr>
          <w:rFonts w:hint="eastAsia" w:ascii="仿宋_GB2312" w:hAnsi="仿宋_GB2312" w:eastAsia="仿宋_GB2312" w:cs="仿宋_GB2312"/>
          <w:bCs/>
          <w:color w:val="auto"/>
          <w:sz w:val="32"/>
          <w:szCs w:val="32"/>
          <w:highlight w:val="none"/>
        </w:rPr>
        <w:t>对下转移支付项目支出。</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2" w:name="_Toc16131_WPSOffice_Level2"/>
      <w:r>
        <w:rPr>
          <w:rFonts w:hint="eastAsia" w:ascii="楷体_GB2312" w:hAnsi="楷体_GB2312" w:eastAsia="楷体_GB2312" w:cs="楷体_GB2312"/>
          <w:bCs/>
          <w:color w:val="auto"/>
          <w:sz w:val="32"/>
          <w:szCs w:val="32"/>
          <w:highlight w:val="none"/>
        </w:rPr>
        <w:t>（十）部门整体支出绩效目标情况（详见表13）</w:t>
      </w:r>
      <w:bookmarkEnd w:id="42"/>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3" w:name="_Toc13728_WPSOffice_Level2"/>
      <w:r>
        <w:rPr>
          <w:rFonts w:hint="eastAsia" w:ascii="楷体_GB2312" w:hAnsi="楷体_GB2312" w:eastAsia="楷体_GB2312" w:cs="楷体_GB2312"/>
          <w:bCs/>
          <w:color w:val="auto"/>
          <w:sz w:val="32"/>
          <w:szCs w:val="32"/>
          <w:highlight w:val="none"/>
        </w:rPr>
        <w:t>（十一）项目支出绩效目标情况（详见表14）</w:t>
      </w:r>
      <w:bookmarkEnd w:id="43"/>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黑体" w:hAnsi="黑体" w:eastAsia="黑体" w:cs="黑体"/>
          <w:bCs/>
          <w:color w:val="auto"/>
          <w:sz w:val="32"/>
          <w:szCs w:val="32"/>
          <w:highlight w:val="none"/>
        </w:rPr>
      </w:pPr>
      <w:bookmarkStart w:id="44" w:name="_Toc971_WPSOffice_Level1"/>
      <w:r>
        <w:rPr>
          <w:rFonts w:hint="eastAsia" w:ascii="黑体" w:hAnsi="黑体" w:eastAsia="黑体" w:cs="黑体"/>
          <w:bCs/>
          <w:color w:val="auto"/>
          <w:sz w:val="32"/>
          <w:szCs w:val="32"/>
          <w:highlight w:val="none"/>
          <w:lang w:eastAsia="zh-CN"/>
        </w:rPr>
        <w:t>四、</w:t>
      </w:r>
      <w:r>
        <w:rPr>
          <w:rFonts w:hint="eastAsia" w:ascii="黑体" w:hAnsi="黑体" w:eastAsia="黑体" w:cs="黑体"/>
          <w:bCs/>
          <w:color w:val="auto"/>
          <w:sz w:val="32"/>
          <w:szCs w:val="32"/>
          <w:highlight w:val="none"/>
        </w:rPr>
        <w:t>其他重要事项说明</w:t>
      </w:r>
      <w:bookmarkEnd w:id="44"/>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bookmarkStart w:id="45" w:name="_Toc20558_WPSOffice_Level2"/>
      <w:r>
        <w:rPr>
          <w:rFonts w:hint="eastAsia" w:ascii="楷体_GB2312" w:hAnsi="楷体_GB2312" w:eastAsia="楷体_GB2312" w:cs="楷体_GB2312"/>
          <w:bCs/>
          <w:color w:val="auto"/>
          <w:sz w:val="30"/>
          <w:szCs w:val="30"/>
          <w:highlight w:val="none"/>
        </w:rPr>
        <w:t>（一）机关</w:t>
      </w:r>
      <w:r>
        <w:rPr>
          <w:rFonts w:hint="eastAsia" w:ascii="楷体_GB2312" w:hAnsi="楷体_GB2312" w:eastAsia="楷体_GB2312" w:cs="楷体_GB2312"/>
          <w:bCs/>
          <w:color w:val="auto"/>
          <w:sz w:val="30"/>
          <w:szCs w:val="30"/>
          <w:highlight w:val="none"/>
          <w:lang w:eastAsia="zh-CN"/>
        </w:rPr>
        <w:t>（机构）</w:t>
      </w:r>
      <w:r>
        <w:rPr>
          <w:rFonts w:hint="eastAsia" w:ascii="楷体_GB2312" w:hAnsi="楷体_GB2312" w:eastAsia="楷体_GB2312" w:cs="楷体_GB2312"/>
          <w:bCs/>
          <w:color w:val="auto"/>
          <w:sz w:val="30"/>
          <w:szCs w:val="30"/>
          <w:highlight w:val="none"/>
        </w:rPr>
        <w:t>运行经费情况：</w:t>
      </w:r>
      <w:bookmarkEnd w:id="45"/>
      <w:r>
        <w:rPr>
          <w:rFonts w:hint="eastAsia" w:ascii="仿宋_GB2312" w:hAnsi="仿宋_GB2312" w:eastAsia="仿宋_GB2312" w:cs="仿宋_GB2312"/>
          <w:bCs/>
          <w:color w:val="auto"/>
          <w:sz w:val="30"/>
          <w:szCs w:val="30"/>
          <w:highlight w:val="none"/>
          <w:lang w:eastAsia="zh-CN"/>
        </w:rPr>
        <w:t>2025</w:t>
      </w:r>
      <w:r>
        <w:rPr>
          <w:rFonts w:hint="eastAsia" w:ascii="仿宋_GB2312" w:hAnsi="仿宋_GB2312" w:eastAsia="仿宋_GB2312" w:cs="仿宋_GB2312"/>
          <w:bCs/>
          <w:color w:val="auto"/>
          <w:sz w:val="30"/>
          <w:szCs w:val="30"/>
          <w:highlight w:val="none"/>
        </w:rPr>
        <w:t>年部门机关（机构）</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textAlignment w:val="auto"/>
        <w:rPr>
          <w:rFonts w:hint="eastAsia" w:ascii="楷体_GB2312" w:hAnsi="楷体_GB2312" w:eastAsia="楷体_GB2312" w:cs="楷体_GB2312"/>
          <w:bCs/>
          <w:color w:val="auto"/>
          <w:sz w:val="30"/>
          <w:szCs w:val="30"/>
          <w:highlight w:val="none"/>
          <w:lang w:eastAsia="zh-CN"/>
        </w:rPr>
      </w:pPr>
      <w:r>
        <w:rPr>
          <w:rFonts w:hint="eastAsia" w:ascii="仿宋_GB2312" w:hAnsi="仿宋_GB2312" w:eastAsia="仿宋_GB2312" w:cs="仿宋_GB2312"/>
          <w:bCs/>
          <w:color w:val="auto"/>
          <w:sz w:val="30"/>
          <w:szCs w:val="30"/>
          <w:highlight w:val="none"/>
        </w:rPr>
        <w:t>运行经费预算为</w:t>
      </w:r>
      <w:r>
        <w:rPr>
          <w:rFonts w:hint="eastAsia" w:ascii="仿宋_GB2312" w:hAnsi="仿宋_GB2312" w:eastAsia="仿宋_GB2312" w:cs="仿宋_GB2312"/>
          <w:bCs/>
          <w:color w:val="auto"/>
          <w:sz w:val="30"/>
          <w:szCs w:val="30"/>
          <w:highlight w:val="none"/>
          <w:lang w:val="en-US" w:eastAsia="zh-CN"/>
        </w:rPr>
        <w:t>55.2</w:t>
      </w:r>
      <w:r>
        <w:rPr>
          <w:rFonts w:hint="eastAsia" w:ascii="仿宋_GB2312" w:hAnsi="仿宋_GB2312" w:eastAsia="仿宋_GB2312" w:cs="仿宋_GB2312"/>
          <w:bCs/>
          <w:color w:val="auto"/>
          <w:sz w:val="30"/>
          <w:szCs w:val="30"/>
          <w:highlight w:val="none"/>
        </w:rPr>
        <w:t>万元，其中：办公费</w:t>
      </w:r>
      <w:r>
        <w:rPr>
          <w:rFonts w:hint="eastAsia" w:ascii="仿宋_GB2312" w:hAnsi="仿宋_GB2312" w:eastAsia="仿宋_GB2312" w:cs="仿宋_GB2312"/>
          <w:bCs/>
          <w:color w:val="auto"/>
          <w:sz w:val="30"/>
          <w:szCs w:val="30"/>
          <w:highlight w:val="none"/>
          <w:lang w:val="en-US" w:eastAsia="zh-CN"/>
        </w:rPr>
        <w:t>46.3</w:t>
      </w:r>
      <w:r>
        <w:rPr>
          <w:rFonts w:hint="eastAsia" w:ascii="仿宋_GB2312" w:hAnsi="仿宋_GB2312" w:eastAsia="仿宋_GB2312" w:cs="仿宋_GB2312"/>
          <w:bCs/>
          <w:color w:val="auto"/>
          <w:sz w:val="30"/>
          <w:szCs w:val="30"/>
          <w:highlight w:val="none"/>
        </w:rPr>
        <w:t>万元、印刷费</w:t>
      </w:r>
      <w:r>
        <w:rPr>
          <w:rFonts w:hint="eastAsia" w:ascii="仿宋_GB2312" w:hAnsi="仿宋_GB2312" w:eastAsia="仿宋_GB2312" w:cs="仿宋_GB2312"/>
          <w:bCs/>
          <w:color w:val="auto"/>
          <w:sz w:val="30"/>
          <w:szCs w:val="30"/>
          <w:highlight w:val="none"/>
          <w:lang w:val="en-US" w:eastAsia="zh-CN"/>
        </w:rPr>
        <w:t>1.8</w:t>
      </w:r>
      <w:r>
        <w:rPr>
          <w:rFonts w:hint="eastAsia" w:ascii="仿宋_GB2312" w:hAnsi="仿宋_GB2312" w:eastAsia="仿宋_GB2312" w:cs="仿宋_GB2312"/>
          <w:bCs/>
          <w:color w:val="auto"/>
          <w:sz w:val="30"/>
          <w:szCs w:val="30"/>
          <w:highlight w:val="none"/>
        </w:rPr>
        <w:t>万元、</w:t>
      </w:r>
      <w:r>
        <w:rPr>
          <w:rFonts w:hint="eastAsia" w:ascii="仿宋_GB2312" w:hAnsi="仿宋_GB2312" w:eastAsia="仿宋_GB2312" w:cs="仿宋_GB2312"/>
          <w:bCs/>
          <w:color w:val="auto"/>
          <w:sz w:val="30"/>
          <w:szCs w:val="30"/>
          <w:highlight w:val="none"/>
          <w:lang w:eastAsia="zh-CN"/>
        </w:rPr>
        <w:t>邮电</w:t>
      </w:r>
      <w:r>
        <w:rPr>
          <w:rFonts w:hint="eastAsia" w:ascii="仿宋_GB2312" w:hAnsi="仿宋_GB2312" w:eastAsia="仿宋_GB2312" w:cs="仿宋_GB2312"/>
          <w:bCs/>
          <w:color w:val="auto"/>
          <w:sz w:val="30"/>
          <w:szCs w:val="30"/>
          <w:highlight w:val="none"/>
        </w:rPr>
        <w:t>费</w:t>
      </w:r>
      <w:r>
        <w:rPr>
          <w:rFonts w:hint="eastAsia" w:ascii="仿宋_GB2312" w:hAnsi="仿宋_GB2312" w:eastAsia="仿宋_GB2312" w:cs="仿宋_GB2312"/>
          <w:bCs/>
          <w:color w:val="auto"/>
          <w:sz w:val="30"/>
          <w:szCs w:val="30"/>
          <w:highlight w:val="none"/>
          <w:lang w:val="en-US" w:eastAsia="zh-CN"/>
        </w:rPr>
        <w:t>0.5</w:t>
      </w:r>
      <w:r>
        <w:rPr>
          <w:rFonts w:hint="eastAsia" w:ascii="仿宋_GB2312" w:hAnsi="仿宋_GB2312" w:eastAsia="仿宋_GB2312" w:cs="仿宋_GB2312"/>
          <w:bCs/>
          <w:color w:val="auto"/>
          <w:sz w:val="30"/>
          <w:szCs w:val="30"/>
          <w:highlight w:val="none"/>
        </w:rPr>
        <w:t>万元、</w:t>
      </w:r>
      <w:r>
        <w:rPr>
          <w:rFonts w:hint="eastAsia" w:ascii="仿宋_GB2312" w:hAnsi="仿宋_GB2312" w:eastAsia="仿宋_GB2312" w:cs="仿宋_GB2312"/>
          <w:bCs/>
          <w:color w:val="auto"/>
          <w:sz w:val="30"/>
          <w:szCs w:val="30"/>
          <w:highlight w:val="none"/>
          <w:lang w:eastAsia="zh-CN"/>
        </w:rPr>
        <w:t>差旅费</w:t>
      </w:r>
      <w:r>
        <w:rPr>
          <w:rFonts w:hint="eastAsia" w:ascii="仿宋_GB2312" w:hAnsi="仿宋_GB2312" w:eastAsia="仿宋_GB2312" w:cs="仿宋_GB2312"/>
          <w:bCs/>
          <w:color w:val="auto"/>
          <w:sz w:val="30"/>
          <w:szCs w:val="30"/>
          <w:highlight w:val="none"/>
          <w:lang w:val="en-US" w:eastAsia="zh-CN"/>
        </w:rPr>
        <w:t>3万元</w:t>
      </w:r>
      <w:r>
        <w:rPr>
          <w:rFonts w:hint="eastAsia" w:ascii="仿宋_GB2312" w:hAnsi="仿宋_GB2312" w:eastAsia="仿宋_GB2312" w:cs="仿宋_GB2312"/>
          <w:bCs/>
          <w:color w:val="auto"/>
          <w:sz w:val="30"/>
          <w:szCs w:val="30"/>
          <w:highlight w:val="none"/>
        </w:rPr>
        <w:t>。</w:t>
      </w:r>
      <w:r>
        <w:rPr>
          <w:rFonts w:hint="eastAsia" w:ascii="仿宋_GB2312" w:hAnsi="仿宋_GB2312" w:eastAsia="仿宋_GB2312" w:cs="仿宋_GB2312"/>
          <w:bCs/>
          <w:color w:val="auto"/>
          <w:sz w:val="30"/>
          <w:szCs w:val="30"/>
          <w:highlight w:val="none"/>
          <w:lang w:eastAsia="zh-CN"/>
        </w:rPr>
        <w:t>2025</w:t>
      </w:r>
      <w:r>
        <w:rPr>
          <w:rFonts w:hint="eastAsia" w:ascii="仿宋_GB2312" w:hAnsi="仿宋_GB2312" w:eastAsia="仿宋_GB2312" w:cs="仿宋_GB2312"/>
          <w:bCs/>
          <w:color w:val="auto"/>
          <w:sz w:val="30"/>
          <w:szCs w:val="30"/>
          <w:highlight w:val="none"/>
        </w:rPr>
        <w:t>年部门机关（机构）运行经费预算比</w:t>
      </w:r>
      <w:r>
        <w:rPr>
          <w:rFonts w:hint="eastAsia" w:ascii="仿宋_GB2312" w:hAnsi="仿宋_GB2312" w:eastAsia="仿宋_GB2312" w:cs="仿宋_GB2312"/>
          <w:bCs/>
          <w:color w:val="auto"/>
          <w:sz w:val="30"/>
          <w:szCs w:val="30"/>
          <w:highlight w:val="none"/>
          <w:lang w:eastAsia="zh-CN"/>
        </w:rPr>
        <w:t>2024</w:t>
      </w:r>
      <w:r>
        <w:rPr>
          <w:rFonts w:hint="eastAsia" w:ascii="仿宋_GB2312" w:hAnsi="仿宋_GB2312" w:eastAsia="仿宋_GB2312" w:cs="仿宋_GB2312"/>
          <w:bCs/>
          <w:color w:val="auto"/>
          <w:sz w:val="30"/>
          <w:szCs w:val="30"/>
          <w:highlight w:val="none"/>
        </w:rPr>
        <w:t>年同口径预算减少</w:t>
      </w:r>
      <w:r>
        <w:rPr>
          <w:rFonts w:hint="eastAsia" w:ascii="仿宋_GB2312" w:hAnsi="仿宋_GB2312" w:eastAsia="仿宋_GB2312" w:cs="仿宋_GB2312"/>
          <w:bCs/>
          <w:color w:val="auto"/>
          <w:sz w:val="30"/>
          <w:szCs w:val="30"/>
          <w:highlight w:val="none"/>
          <w:lang w:val="en-US" w:eastAsia="zh-CN"/>
        </w:rPr>
        <w:t>1.04</w:t>
      </w:r>
      <w:r>
        <w:rPr>
          <w:rFonts w:hint="eastAsia" w:ascii="仿宋_GB2312" w:hAnsi="仿宋_GB2312" w:eastAsia="仿宋_GB2312" w:cs="仿宋_GB2312"/>
          <w:bCs/>
          <w:color w:val="auto"/>
          <w:sz w:val="30"/>
          <w:szCs w:val="30"/>
          <w:highlight w:val="none"/>
        </w:rPr>
        <w:t>万元，下降</w:t>
      </w:r>
      <w:r>
        <w:rPr>
          <w:rFonts w:hint="eastAsia" w:ascii="仿宋_GB2312" w:hAnsi="仿宋_GB2312" w:eastAsia="仿宋_GB2312" w:cs="仿宋_GB2312"/>
          <w:bCs/>
          <w:color w:val="auto"/>
          <w:sz w:val="30"/>
          <w:szCs w:val="30"/>
          <w:highlight w:val="none"/>
          <w:lang w:val="en-US" w:eastAsia="zh-CN"/>
        </w:rPr>
        <w:t>1.85</w:t>
      </w:r>
      <w:r>
        <w:rPr>
          <w:rFonts w:hint="eastAsia" w:ascii="仿宋_GB2312" w:hAnsi="仿宋_GB2312" w:eastAsia="仿宋_GB2312" w:cs="仿宋_GB2312"/>
          <w:bCs/>
          <w:color w:val="auto"/>
          <w:sz w:val="30"/>
          <w:szCs w:val="30"/>
          <w:highlight w:val="none"/>
        </w:rPr>
        <w:t>%，主要原因是：</w:t>
      </w:r>
      <w:r>
        <w:rPr>
          <w:rFonts w:hint="eastAsia" w:ascii="仿宋_GB2312" w:hAnsi="仿宋_GB2312" w:eastAsia="仿宋_GB2312" w:cs="仿宋_GB2312"/>
          <w:bCs/>
          <w:color w:val="auto"/>
          <w:sz w:val="30"/>
          <w:szCs w:val="30"/>
          <w:highlight w:val="none"/>
          <w:lang w:eastAsia="zh-CN"/>
        </w:rPr>
        <w:t>人员调整。</w:t>
      </w:r>
      <w:r>
        <w:rPr>
          <w:rFonts w:hint="eastAsia" w:ascii="仿宋_GB2312" w:hAnsi="仿宋_GB2312" w:eastAsia="仿宋_GB2312" w:cs="仿宋_GB2312"/>
          <w:bCs/>
          <w:color w:val="auto"/>
          <w:sz w:val="30"/>
          <w:szCs w:val="30"/>
          <w:highlight w:val="none"/>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lang w:eastAsia="zh-CN"/>
        </w:rPr>
      </w:pPr>
      <w:bookmarkStart w:id="46" w:name="_Toc18020_WPSOffice_Level2"/>
      <w:r>
        <w:rPr>
          <w:rFonts w:hint="eastAsia" w:ascii="楷体_GB2312" w:hAnsi="楷体_GB2312" w:eastAsia="楷体_GB2312" w:cs="楷体_GB2312"/>
          <w:bCs/>
          <w:color w:val="auto"/>
          <w:sz w:val="30"/>
          <w:szCs w:val="30"/>
          <w:highlight w:val="none"/>
        </w:rPr>
        <w:t>国有资产占有使用情况：</w:t>
      </w:r>
      <w:bookmarkEnd w:id="46"/>
      <w:r>
        <w:rPr>
          <w:rFonts w:hint="eastAsia" w:ascii="仿宋_GB2312" w:hAnsi="仿宋_GB2312" w:eastAsia="仿宋_GB2312" w:cs="仿宋_GB2312"/>
          <w:bCs/>
          <w:color w:val="auto"/>
          <w:sz w:val="30"/>
          <w:szCs w:val="30"/>
          <w:highlight w:val="none"/>
          <w:lang w:eastAsia="zh-CN"/>
        </w:rPr>
        <w:t>截至</w:t>
      </w:r>
      <w:r>
        <w:rPr>
          <w:rFonts w:hint="eastAsia" w:ascii="仿宋_GB2312" w:hAnsi="仿宋_GB2312" w:eastAsia="仿宋_GB2312" w:cs="仿宋_GB2312"/>
          <w:bCs/>
          <w:color w:val="auto"/>
          <w:sz w:val="30"/>
          <w:szCs w:val="30"/>
          <w:highlight w:val="none"/>
          <w:lang w:val="en-US" w:eastAsia="zh-CN"/>
        </w:rPr>
        <w:t>2024</w:t>
      </w:r>
      <w:r>
        <w:rPr>
          <w:rFonts w:hint="eastAsia" w:ascii="仿宋_GB2312" w:hAnsi="仿宋_GB2312" w:eastAsia="仿宋_GB2312" w:cs="仿宋_GB2312"/>
          <w:bCs/>
          <w:color w:val="auto"/>
          <w:sz w:val="30"/>
          <w:szCs w:val="30"/>
          <w:highlight w:val="none"/>
          <w:lang w:eastAsia="zh-CN"/>
        </w:rPr>
        <w:t>年</w:t>
      </w:r>
      <w:r>
        <w:rPr>
          <w:rFonts w:hint="eastAsia" w:ascii="仿宋_GB2312" w:hAnsi="仿宋_GB2312" w:eastAsia="仿宋_GB2312" w:cs="仿宋_GB2312"/>
          <w:bCs/>
          <w:color w:val="auto"/>
          <w:sz w:val="30"/>
          <w:szCs w:val="30"/>
          <w:highlight w:val="none"/>
          <w:lang w:val="en-US" w:eastAsia="zh-CN"/>
        </w:rPr>
        <w:t>12</w:t>
      </w:r>
      <w:r>
        <w:rPr>
          <w:rFonts w:hint="eastAsia" w:ascii="仿宋_GB2312" w:hAnsi="仿宋_GB2312" w:eastAsia="仿宋_GB2312" w:cs="仿宋_GB2312"/>
          <w:bCs/>
          <w:color w:val="auto"/>
          <w:sz w:val="30"/>
          <w:szCs w:val="30"/>
          <w:highlight w:val="none"/>
          <w:lang w:eastAsia="zh-CN"/>
        </w:rPr>
        <w:t>月</w:t>
      </w:r>
      <w:r>
        <w:rPr>
          <w:rFonts w:hint="eastAsia" w:ascii="仿宋_GB2312" w:hAnsi="仿宋_GB2312" w:eastAsia="仿宋_GB2312" w:cs="仿宋_GB2312"/>
          <w:bCs/>
          <w:color w:val="auto"/>
          <w:sz w:val="30"/>
          <w:szCs w:val="30"/>
          <w:highlight w:val="none"/>
          <w:lang w:val="en-US" w:eastAsia="zh-CN"/>
        </w:rPr>
        <w:t>31</w:t>
      </w:r>
      <w:r>
        <w:rPr>
          <w:rFonts w:hint="eastAsia" w:ascii="仿宋_GB2312" w:hAnsi="仿宋_GB2312" w:eastAsia="仿宋_GB2312" w:cs="仿宋_GB2312"/>
          <w:bCs/>
          <w:color w:val="auto"/>
          <w:sz w:val="30"/>
          <w:szCs w:val="30"/>
          <w:highlight w:val="none"/>
          <w:lang w:eastAsia="zh-CN"/>
        </w:rPr>
        <w:t>日，本单位固定资产金额</w:t>
      </w:r>
      <w:r>
        <w:rPr>
          <w:rFonts w:hint="eastAsia" w:ascii="仿宋_GB2312" w:hAnsi="仿宋_GB2312" w:eastAsia="仿宋_GB2312" w:cs="仿宋_GB2312"/>
          <w:bCs/>
          <w:color w:val="auto"/>
          <w:sz w:val="30"/>
          <w:szCs w:val="30"/>
          <w:highlight w:val="none"/>
          <w:lang w:val="en-US" w:eastAsia="zh-CN"/>
        </w:rPr>
        <w:t>2366.2577</w:t>
      </w:r>
      <w:r>
        <w:rPr>
          <w:rFonts w:hint="eastAsia" w:ascii="仿宋_GB2312" w:hAnsi="仿宋_GB2312" w:eastAsia="仿宋_GB2312" w:cs="仿宋_GB2312"/>
          <w:bCs/>
          <w:color w:val="auto"/>
          <w:sz w:val="30"/>
          <w:szCs w:val="30"/>
          <w:highlight w:val="none"/>
          <w:lang w:eastAsia="zh-CN"/>
        </w:rPr>
        <w:t>万元，分布构成情况为：车辆</w:t>
      </w:r>
      <w:r>
        <w:rPr>
          <w:rFonts w:hint="eastAsia" w:ascii="仿宋_GB2312" w:hAnsi="仿宋_GB2312" w:eastAsia="仿宋_GB2312" w:cs="仿宋_GB2312"/>
          <w:bCs/>
          <w:color w:val="auto"/>
          <w:sz w:val="30"/>
          <w:szCs w:val="30"/>
          <w:highlight w:val="none"/>
          <w:lang w:val="en-US" w:eastAsia="zh-CN"/>
        </w:rPr>
        <w:t>1</w:t>
      </w:r>
      <w:r>
        <w:rPr>
          <w:rFonts w:hint="eastAsia" w:ascii="仿宋_GB2312" w:hAnsi="仿宋_GB2312" w:eastAsia="仿宋_GB2312" w:cs="仿宋_GB2312"/>
          <w:bCs/>
          <w:color w:val="auto"/>
          <w:sz w:val="30"/>
          <w:szCs w:val="30"/>
          <w:highlight w:val="none"/>
          <w:lang w:eastAsia="zh-CN"/>
        </w:rPr>
        <w:t>辆，构筑物</w:t>
      </w:r>
      <w:r>
        <w:rPr>
          <w:rFonts w:hint="eastAsia" w:ascii="仿宋_GB2312" w:hAnsi="仿宋_GB2312" w:eastAsia="仿宋_GB2312" w:cs="仿宋_GB2312"/>
          <w:bCs/>
          <w:color w:val="auto"/>
          <w:sz w:val="30"/>
          <w:szCs w:val="30"/>
          <w:highlight w:val="none"/>
          <w:lang w:val="en-US" w:eastAsia="zh-CN"/>
        </w:rPr>
        <w:t>685.11万元</w:t>
      </w:r>
      <w:r>
        <w:rPr>
          <w:rFonts w:hint="eastAsia" w:ascii="仿宋_GB2312" w:hAnsi="仿宋_GB2312" w:eastAsia="仿宋_GB2312" w:cs="仿宋_GB2312"/>
          <w:bCs/>
          <w:color w:val="auto"/>
          <w:sz w:val="30"/>
          <w:szCs w:val="30"/>
          <w:highlight w:val="none"/>
          <w:lang w:eastAsia="zh-CN"/>
        </w:rPr>
        <w:t>等。</w:t>
      </w:r>
      <w:bookmarkStart w:id="47" w:name="_Toc3245_WPSOffice_Level2"/>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楷体_GB2312" w:hAnsi="楷体_GB2312" w:eastAsia="楷体_GB2312" w:cs="楷体_GB2312"/>
          <w:bCs/>
          <w:color w:val="auto"/>
          <w:sz w:val="30"/>
          <w:szCs w:val="30"/>
          <w:highlight w:val="none"/>
        </w:rPr>
      </w:pPr>
      <w:r>
        <w:rPr>
          <w:rFonts w:hint="eastAsia" w:ascii="楷体_GB2312" w:hAnsi="楷体_GB2312" w:eastAsia="楷体_GB2312" w:cs="楷体_GB2312"/>
          <w:bCs/>
          <w:color w:val="auto"/>
          <w:sz w:val="30"/>
          <w:szCs w:val="30"/>
          <w:highlight w:val="none"/>
          <w:lang w:eastAsia="zh-CN"/>
        </w:rPr>
        <w:t>（三）预算绩效管理情况：</w:t>
      </w:r>
      <w:bookmarkEnd w:id="47"/>
      <w:r>
        <w:rPr>
          <w:rFonts w:hint="eastAsia" w:ascii="仿宋_GB2312" w:hAnsi="仿宋_GB2312" w:eastAsia="仿宋_GB2312" w:cs="仿宋_GB2312"/>
          <w:bCs/>
          <w:color w:val="auto"/>
          <w:sz w:val="30"/>
          <w:szCs w:val="30"/>
          <w:highlight w:val="none"/>
          <w:lang w:eastAsia="zh-CN"/>
        </w:rPr>
        <w:t>2025年，实行绩效目标管理的项目</w:t>
      </w:r>
      <w:r>
        <w:rPr>
          <w:rFonts w:hint="eastAsia" w:ascii="仿宋_GB2312" w:hAnsi="仿宋_GB2312" w:eastAsia="仿宋_GB2312" w:cs="仿宋_GB2312"/>
          <w:bCs/>
          <w:color w:val="auto"/>
          <w:sz w:val="30"/>
          <w:szCs w:val="30"/>
          <w:highlight w:val="none"/>
          <w:lang w:val="en-US" w:eastAsia="zh-CN"/>
        </w:rPr>
        <w:t>4</w:t>
      </w:r>
      <w:r>
        <w:rPr>
          <w:rFonts w:hint="eastAsia" w:ascii="仿宋_GB2312" w:hAnsi="仿宋_GB2312" w:eastAsia="仿宋_GB2312" w:cs="仿宋_GB2312"/>
          <w:bCs/>
          <w:color w:val="auto"/>
          <w:sz w:val="30"/>
          <w:szCs w:val="30"/>
          <w:highlight w:val="none"/>
          <w:lang w:eastAsia="zh-CN"/>
        </w:rPr>
        <w:t>个，涉及本级财政拨款预算</w:t>
      </w:r>
      <w:r>
        <w:rPr>
          <w:rFonts w:hint="eastAsia" w:ascii="仿宋_GB2312" w:hAnsi="仿宋_GB2312" w:eastAsia="仿宋_GB2312" w:cs="仿宋_GB2312"/>
          <w:bCs/>
          <w:color w:val="auto"/>
          <w:sz w:val="30"/>
          <w:szCs w:val="30"/>
          <w:highlight w:val="none"/>
          <w:lang w:val="en-US" w:eastAsia="zh-CN"/>
        </w:rPr>
        <w:t>154</w:t>
      </w:r>
      <w:r>
        <w:rPr>
          <w:rFonts w:hint="eastAsia" w:ascii="仿宋_GB2312" w:hAnsi="仿宋_GB2312" w:eastAsia="仿宋_GB2312" w:cs="仿宋_GB2312"/>
          <w:bCs/>
          <w:color w:val="auto"/>
          <w:sz w:val="30"/>
          <w:szCs w:val="30"/>
          <w:highlight w:val="none"/>
          <w:lang w:eastAsia="zh-CN"/>
        </w:rPr>
        <w:t>万元、</w:t>
      </w:r>
      <w:r>
        <w:rPr>
          <w:rFonts w:hint="eastAsia" w:ascii="仿宋_GB2312" w:hAnsi="仿宋_GB2312" w:eastAsia="仿宋_GB2312" w:cs="仿宋_GB2312"/>
          <w:bCs/>
          <w:color w:val="auto"/>
          <w:sz w:val="32"/>
          <w:szCs w:val="32"/>
          <w:highlight w:val="none"/>
          <w:lang w:eastAsia="zh-CN"/>
        </w:rPr>
        <w:t>部门上级预算资金</w:t>
      </w:r>
      <w:r>
        <w:rPr>
          <w:rFonts w:hint="eastAsia" w:ascii="仿宋_GB2312" w:hAnsi="仿宋_GB2312" w:eastAsia="仿宋_GB2312" w:cs="仿宋_GB2312"/>
          <w:bCs/>
          <w:color w:val="auto"/>
          <w:sz w:val="32"/>
          <w:szCs w:val="32"/>
          <w:highlight w:val="none"/>
          <w:lang w:val="en-US" w:eastAsia="zh-CN"/>
        </w:rPr>
        <w:t>25万元</w:t>
      </w:r>
      <w:r>
        <w:rPr>
          <w:rFonts w:hint="eastAsia" w:ascii="仿宋_GB2312" w:hAnsi="仿宋_GB2312" w:eastAsia="仿宋_GB2312" w:cs="仿宋_GB2312"/>
          <w:bCs/>
          <w:color w:val="auto"/>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beforeAutospacing="0" w:afterAutospacing="0" w:line="740" w:lineRule="exact"/>
        <w:ind w:left="0" w:firstLine="578" w:firstLineChars="200"/>
        <w:textAlignment w:val="baseline"/>
        <w:rPr>
          <w:rFonts w:hint="eastAsia"/>
          <w:sz w:val="30"/>
          <w:szCs w:val="30"/>
        </w:rPr>
      </w:pPr>
      <w:bookmarkStart w:id="48" w:name="_Toc3940_WPSOffice_Level2"/>
      <w:r>
        <w:rPr>
          <w:rFonts w:hint="eastAsia" w:ascii="楷体_GB2312" w:hAnsi="楷体_GB2312" w:eastAsia="楷体_GB2312" w:cs="楷体_GB2312"/>
          <w:bCs/>
          <w:color w:val="auto"/>
          <w:sz w:val="30"/>
          <w:szCs w:val="30"/>
          <w:highlight w:val="none"/>
        </w:rPr>
        <w:t>（四）项目支出安排情况</w:t>
      </w:r>
      <w:r>
        <w:rPr>
          <w:rFonts w:hint="eastAsia" w:ascii="楷体_GB2312" w:hAnsi="楷体_GB2312" w:eastAsia="楷体_GB2312" w:cs="楷体_GB2312"/>
          <w:bCs/>
          <w:color w:val="auto"/>
          <w:sz w:val="30"/>
          <w:szCs w:val="30"/>
          <w:highlight w:val="none"/>
          <w:lang w:eastAsia="zh-CN"/>
        </w:rPr>
        <w:t>：</w:t>
      </w:r>
      <w:bookmarkEnd w:id="48"/>
      <w:r>
        <w:rPr>
          <w:rFonts w:hint="eastAsia" w:ascii="仿宋_GB2312" w:hAnsi="仿宋_GB2312" w:eastAsia="仿宋_GB2312" w:cs="仿宋_GB2312"/>
          <w:bCs/>
          <w:color w:val="auto"/>
          <w:sz w:val="30"/>
          <w:szCs w:val="30"/>
          <w:highlight w:val="none"/>
          <w:lang w:eastAsia="zh-CN"/>
        </w:rPr>
        <w:t>2025</w:t>
      </w:r>
      <w:r>
        <w:rPr>
          <w:rFonts w:hint="eastAsia" w:ascii="仿宋_GB2312" w:hAnsi="仿宋_GB2312" w:eastAsia="仿宋_GB2312" w:cs="仿宋_GB2312"/>
          <w:bCs/>
          <w:color w:val="auto"/>
          <w:sz w:val="30"/>
          <w:szCs w:val="30"/>
          <w:highlight w:val="none"/>
        </w:rPr>
        <w:t>年</w:t>
      </w:r>
      <w:r>
        <w:rPr>
          <w:rFonts w:hint="eastAsia" w:ascii="仿宋_GB2312" w:hAnsi="仿宋_GB2312" w:eastAsia="仿宋_GB2312" w:cs="仿宋_GB2312"/>
          <w:bCs/>
          <w:color w:val="auto"/>
          <w:sz w:val="30"/>
          <w:szCs w:val="30"/>
          <w:highlight w:val="none"/>
          <w:lang w:eastAsia="zh-CN"/>
        </w:rPr>
        <w:t>市科协无重点项目</w:t>
      </w:r>
      <w:r>
        <w:rPr>
          <w:rFonts w:hint="eastAsia" w:ascii="仿宋_GB2312" w:hAnsi="仿宋_GB2312" w:eastAsia="仿宋_GB2312" w:cs="仿宋_GB2312"/>
          <w:color w:val="000000"/>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黑体" w:hAnsi="黑体" w:eastAsia="黑体" w:cs="黑体"/>
          <w:bCs/>
          <w:color w:val="auto"/>
          <w:sz w:val="30"/>
          <w:szCs w:val="30"/>
          <w:highlight w:val="none"/>
        </w:rPr>
      </w:pPr>
      <w:bookmarkStart w:id="49" w:name="_Toc22779_WPSOffice_Level2"/>
      <w:r>
        <w:rPr>
          <w:rFonts w:hint="eastAsia" w:ascii="黑体" w:hAnsi="黑体" w:eastAsia="黑体" w:cs="黑体"/>
          <w:bCs/>
          <w:color w:val="auto"/>
          <w:sz w:val="30"/>
          <w:szCs w:val="30"/>
          <w:highlight w:val="none"/>
        </w:rPr>
        <w:t>（五）名词解释</w:t>
      </w:r>
      <w:bookmarkEnd w:id="49"/>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１.一般公共预算：是指对以税收为主体的财政收入，安排用于保障和改善民生、推动经济社会发展、维护国家安全、维持国家机构正常运转等方面的收支预算。</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２.政府性基金预算：</w:t>
      </w:r>
      <w:r>
        <w:rPr>
          <w:rFonts w:hint="eastAsia" w:ascii="仿宋_GB2312" w:hAnsi="仿宋_GB2312" w:eastAsia="仿宋_GB2312" w:cs="仿宋_GB2312"/>
          <w:bCs/>
          <w:color w:val="auto"/>
          <w:sz w:val="30"/>
          <w:szCs w:val="30"/>
          <w:highlight w:val="none"/>
          <w:lang w:eastAsia="zh-CN"/>
        </w:rPr>
        <w:t>是</w:t>
      </w:r>
      <w:r>
        <w:rPr>
          <w:rFonts w:hint="eastAsia" w:ascii="仿宋_GB2312" w:hAnsi="仿宋_GB2312" w:eastAsia="仿宋_GB2312" w:cs="仿宋_GB2312"/>
          <w:bCs/>
          <w:color w:val="auto"/>
          <w:sz w:val="30"/>
          <w:szCs w:val="30"/>
          <w:highlight w:val="none"/>
        </w:rPr>
        <w:t>指以依照法律、行政法规的规定在一定期限内向特定对象征收、收取或者以其他方式筹集的资金，专项用于特定公共事业发展的收支预算。政府性基金预算应当根据基金项目收入情况和实际支出需要，按基金项目编制，做到以收定支。</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３.国有资本经营预算：是指国家以所有者身份依法取得国有资本收益，并对所得收益进行分配而发生的各项收支预算，是政府预算的重要组成部分。国有资本经营预算按年度单独编制，纳入本级人民政府预算，报本级人民代表大会批准。国有资本经营预算支出按照当年预算收入规模安排，不列赤字。</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4.财政拨款收入：是指单位从同级财政部门取得的各类财政拨款，包括一般公共预算资金、政府性基金预算资金和国有资本经营预算资金。</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５.财政专户管理资金收入：专指教育收费收入，包括目前在财政专户管理的高中以上学费、住宿费，高校委托培养费，党校收费，教育考试考务费，函大、电大、夜大及短期培训班费等。</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６.事业收入：是指事业单位开展专业业务活动，及其辅助活动取得的收入，不含教育收费收入。</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７.事业单位经营收入：是指事业单位在专业业务活动及其辅助活动之外开展非独立核算经营活动取得的收入。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8.上级补助收入：是指事业单位从主管部门和上级单位取得的非财政拨款收入。</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9.附属单位上缴收入：是指事业单位取得附属独立核算单位根据有关规定上缴的收入。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10.基本支出：指为保障机构正常运转、完成日常工作任务而发生支出，包括人员经费和公用经费。</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11.项目支出：指在基本支出之外为完成特定行政任务和事业发展目标所发生的支出。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12.人员经费：人员经费是指部门和单位“工资福利支出”和“对个人和家庭的补助”中属于基本支出内容的支出，包括基本工资、津贴补贴、奖金、机关事业单位养老保险缴费、其他社会保障缴费、住房公积金、其他工资福利支出、离退休费、生活补助等。</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13.公用经费：主要是指部门和单位“商品和服务支出”和“资本性支出”中属于基本支出内容的支出，包括办公费、水费、电费、邮电费、物业管理费、交通费、差旅费、日常维修(护)费、会议费、租赁费、招待费、培训费、福利费、工会经费、办公设备购置、其他商品和服务支出等。</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14.“三公”经费：包括因公出国（境）费、公务接待费、公务用车购置及运行维护费。其中，因公出国（境）费反映单位公务出国（境）的国际旅费、国外城市间交通费、住宿费、伙食费、培训费、公杂费等支出；公务用车购置及运行维护费反映单位公务用车车辆购置支出（含车辆购置税）、燃料费、维修费、过路过桥费、保险费、安全奖励费用等支出；公务接待费反映单位按规定开展的各类公务接待（含外宾接待）支出。</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15.机关（机构）运行经费，是指部门的公用经费，具体为保障部门运行用于购买货物和服务的各项资金，包括：办公费及印刷费、邮电费、差旅费、会议费、福利费、维修（护）费、专用材料费及一般设备购置费、办公用房水电费、取暖费、物业管理费、公务用车运行维护费、其他交通费用以及其他费用。</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16.支出功能分类科目：分为类、款、项，反映政府各项职能活动。</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578" w:firstLineChars="200"/>
        <w:textAlignment w:val="auto"/>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rPr>
        <w:t>17.支出经济分类科目:分为类、款，主要反映政府各项支出的经济性质和具体用途。</w:t>
      </w:r>
    </w:p>
    <w:p>
      <w:pPr>
        <w:keepNext w:val="0"/>
        <w:keepLines w:val="0"/>
        <w:pageBreakBefore w:val="0"/>
        <w:widowControl w:val="0"/>
        <w:kinsoku/>
        <w:wordWrap/>
        <w:overflowPunct/>
        <w:topLinePunct w:val="0"/>
        <w:autoSpaceDE/>
        <w:autoSpaceDN/>
        <w:bidi w:val="0"/>
        <w:adjustRightInd/>
        <w:snapToGrid/>
        <w:spacing w:beforeAutospacing="0" w:afterAutospacing="0" w:line="740" w:lineRule="exact"/>
        <w:ind w:firstLine="618" w:firstLineChars="200"/>
        <w:textAlignment w:val="auto"/>
        <w:rPr>
          <w:rFonts w:hint="eastAsia" w:ascii="黑体" w:hAnsi="黑体" w:eastAsia="黑体" w:cs="黑体"/>
          <w:color w:val="auto"/>
          <w:sz w:val="32"/>
          <w:szCs w:val="32"/>
          <w:highlight w:val="none"/>
        </w:rPr>
      </w:pPr>
      <w:bookmarkStart w:id="50" w:name="_Toc23641_WPSOffice_Level1"/>
      <w:r>
        <w:rPr>
          <w:rFonts w:hint="eastAsia" w:ascii="黑体" w:hAnsi="黑体" w:eastAsia="黑体" w:cs="黑体"/>
          <w:bCs/>
          <w:color w:val="auto"/>
          <w:sz w:val="32"/>
          <w:szCs w:val="32"/>
          <w:highlight w:val="none"/>
        </w:rPr>
        <w:t>五、</w:t>
      </w:r>
      <w:r>
        <w:rPr>
          <w:rFonts w:hint="eastAsia" w:ascii="黑体" w:hAnsi="黑体" w:eastAsia="黑体" w:cs="黑体"/>
          <w:bCs/>
          <w:color w:val="auto"/>
          <w:sz w:val="32"/>
          <w:szCs w:val="32"/>
          <w:highlight w:val="none"/>
          <w:lang w:eastAsia="zh-CN"/>
        </w:rPr>
        <w:t>2025</w:t>
      </w:r>
      <w:r>
        <w:rPr>
          <w:rFonts w:hint="eastAsia" w:ascii="黑体" w:hAnsi="黑体" w:eastAsia="黑体" w:cs="黑体"/>
          <w:bCs/>
          <w:color w:val="auto"/>
          <w:sz w:val="32"/>
          <w:szCs w:val="32"/>
          <w:highlight w:val="none"/>
        </w:rPr>
        <w:t>年部门预算公开表（附</w:t>
      </w:r>
      <w:r>
        <w:rPr>
          <w:rFonts w:hint="eastAsia" w:ascii="黑体" w:hAnsi="黑体" w:eastAsia="黑体" w:cs="黑体"/>
          <w:bCs/>
          <w:color w:val="auto"/>
          <w:sz w:val="32"/>
          <w:szCs w:val="32"/>
          <w:highlight w:val="none"/>
          <w:lang w:eastAsia="zh-CN"/>
        </w:rPr>
        <w:t>表</w:t>
      </w:r>
      <w:r>
        <w:rPr>
          <w:rFonts w:hint="eastAsia" w:ascii="黑体" w:hAnsi="黑体" w:eastAsia="黑体" w:cs="黑体"/>
          <w:bCs/>
          <w:color w:val="auto"/>
          <w:sz w:val="32"/>
          <w:szCs w:val="32"/>
          <w:highlight w:val="none"/>
        </w:rPr>
        <w:t>）</w:t>
      </w:r>
      <w:bookmarkEnd w:id="50"/>
    </w:p>
    <w:sectPr>
      <w:footerReference r:id="rId3" w:type="default"/>
      <w:footerReference r:id="rId4" w:type="even"/>
      <w:pgSz w:w="11906" w:h="16838"/>
      <w:pgMar w:top="2098" w:right="1587" w:bottom="1984" w:left="1587" w:header="851" w:footer="1587" w:gutter="0"/>
      <w:pgNumType w:fmt="decimal" w:start="1"/>
      <w:cols w:equalWidth="0" w:num="1">
        <w:col w:w="8306"/>
      </w:cols>
      <w:rtlGutter w:val="0"/>
      <w:docGrid w:type="linesAndChars" w:linePitch="289" w:charSpace="-2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-150495</wp:posOffset>
              </wp:positionV>
              <wp:extent cx="1828800" cy="28511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285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7280" w:firstLineChars="26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1.85pt;height:22.45pt;width:144pt;mso-position-horizontal:left;mso-position-horizontal-relative:margin;mso-wrap-style:none;z-index:251659264;mso-width-relative:page;mso-height-relative:page;" filled="f" stroked="f" coordsize="21600,21600" o:gfxdata="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pnywtcAAAAHAQAADwAAAAAAAAABACAAAAAiAAAAZHJzL2Rvd25yZXYueG1sUEsB&#10;AhQAFAAAAAgAh07iQJUjYJgvAgAAVAQAAA4AAAAAAAAAAQAgAAAAJgEAAGRycy9lMm9Eb2MueG1s&#10;UEsFBgAAAAAGAAYAWQEAAMcFAAAAAA==&#10;">
              <v:fill on="f" focussize="0,0"/>
              <v:stroke on="f" weight="0.5pt"/>
              <v:imagedata o:title=""/>
              <o:lock v:ext="edit" aspectratio="f"/>
              <v:textbox inset="0mm,0mm,0mm,0mm">
                <w:txbxContent>
                  <w:p>
                    <w:pPr>
                      <w:pStyle w:val="8"/>
                      <w:ind w:firstLine="7280" w:firstLineChars="26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-111125</wp:posOffset>
              </wp:positionV>
              <wp:extent cx="1828800" cy="2444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244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8.75pt;height:19.25pt;width:144pt;mso-position-horizontal:left;mso-position-horizontal-relative:margin;mso-wrap-style:none;z-index:251660288;mso-width-relative:page;mso-height-relative:page;" filled="f" stroked="f" coordsize="21600,21600" o:gfxdata="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hmbWTXAAAABwEAAA8AAAAAAAAAAQAgAAAAIgAAAGRycy9kb3ducmV2LnhtbFBL&#10;AQIUABQAAAAIAIdO4kBmE4Q5MAIAAFQEAAAOAAAAAAAAAAEAIAAAACYBAABkcnMvZTJvRG9jLnht&#10;bFBLBQYAAAAABgAGAFkBAADIBQAAAAA=&#10;">
              <v:fill on="f" focussize="0,0"/>
              <v:stroke on="f" weight="0.5pt"/>
              <v:imagedata o:title=""/>
              <o:lock v:ext="edit" aspectratio="f"/>
              <v:textbox inset="0mm,0mm,0mm,0mm">
                <w:txbxContent>
                  <w:p>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A54490"/>
    <w:multiLevelType w:val="singleLevel"/>
    <w:tmpl w:val="53A54490"/>
    <w:lvl w:ilvl="0" w:tentative="0">
      <w:start w:val="2"/>
      <w:numFmt w:val="chineseCounting"/>
      <w:suff w:val="nothing"/>
      <w:lvlText w:val="（%1）"/>
      <w:lvlJc w:val="left"/>
      <w:pPr>
        <w:ind w:left="-618"/>
      </w:pPr>
      <w:rPr>
        <w:rFonts w:hint="eastAsia"/>
      </w:rPr>
    </w:lvl>
  </w:abstractNum>
  <w:abstractNum w:abstractNumId="1">
    <w:nsid w:val="54AC7604"/>
    <w:multiLevelType w:val="singleLevel"/>
    <w:tmpl w:val="54AC7604"/>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evenAndOddHeaders w:val="1"/>
  <w:drawingGridHorizontalSpacing w:val="99"/>
  <w:drawingGridVerticalSpacing w:val="144"/>
  <w:displayHorizontalDrawingGridEvery w:val="2"/>
  <w:displayVerticalDrawingGridEvery w:val="2"/>
  <w:doNotUseMarginsForDrawingGridOrigin w:val="1"/>
  <w:drawingGridHorizontalOrigin w:val="1702"/>
  <w:drawingGridVerticalOrigin w:val="1985"/>
  <w:characterSpacingControl w:val="compressPunctuation"/>
  <w:compat>
    <w:spaceForUL/>
    <w:balanceSingleByteDoubleByteWidth/>
    <w:ulTrailSpace/>
    <w:doNotExpandShiftReturn/>
    <w:alignTablesRowByRow/>
    <w:adjustLineHeightInTable/>
    <w:doNotUseHTMLParagraphAutoSpacing/>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N2Q2NGU0NzhjMDAzMTNhMDg5OGMzMWY0NmFiYzgxNDgifQ=="/>
  </w:docVars>
  <w:rsids>
    <w:rsidRoot w:val="00600AB7"/>
    <w:rsid w:val="0014153B"/>
    <w:rsid w:val="00174162"/>
    <w:rsid w:val="00174AD7"/>
    <w:rsid w:val="0021158C"/>
    <w:rsid w:val="00343E4A"/>
    <w:rsid w:val="003A6A1D"/>
    <w:rsid w:val="00406CAD"/>
    <w:rsid w:val="0041333F"/>
    <w:rsid w:val="00427881"/>
    <w:rsid w:val="004C5587"/>
    <w:rsid w:val="004D608D"/>
    <w:rsid w:val="0051586F"/>
    <w:rsid w:val="005E28E4"/>
    <w:rsid w:val="00600AB7"/>
    <w:rsid w:val="006E2DD9"/>
    <w:rsid w:val="006F470F"/>
    <w:rsid w:val="00706D5B"/>
    <w:rsid w:val="00930D22"/>
    <w:rsid w:val="009441E1"/>
    <w:rsid w:val="0098517C"/>
    <w:rsid w:val="00A14A00"/>
    <w:rsid w:val="00B97F1C"/>
    <w:rsid w:val="00BA7035"/>
    <w:rsid w:val="00BD2504"/>
    <w:rsid w:val="00C33BCC"/>
    <w:rsid w:val="00C507EB"/>
    <w:rsid w:val="00CA6509"/>
    <w:rsid w:val="00D01F7A"/>
    <w:rsid w:val="00E01EB7"/>
    <w:rsid w:val="00E079E9"/>
    <w:rsid w:val="00E74392"/>
    <w:rsid w:val="00E8431E"/>
    <w:rsid w:val="00EC5D0D"/>
    <w:rsid w:val="00EF2137"/>
    <w:rsid w:val="00F64E4B"/>
    <w:rsid w:val="00F66BBA"/>
    <w:rsid w:val="015C44B3"/>
    <w:rsid w:val="017A64BE"/>
    <w:rsid w:val="019B0331"/>
    <w:rsid w:val="03E10C5E"/>
    <w:rsid w:val="0410515B"/>
    <w:rsid w:val="044D343E"/>
    <w:rsid w:val="048B4CCD"/>
    <w:rsid w:val="048E715A"/>
    <w:rsid w:val="05057EB4"/>
    <w:rsid w:val="058E0BB0"/>
    <w:rsid w:val="05AD529D"/>
    <w:rsid w:val="05CD19D9"/>
    <w:rsid w:val="06244EB7"/>
    <w:rsid w:val="06452723"/>
    <w:rsid w:val="066460C7"/>
    <w:rsid w:val="06760D48"/>
    <w:rsid w:val="06B45F2C"/>
    <w:rsid w:val="06DF53E3"/>
    <w:rsid w:val="076650AD"/>
    <w:rsid w:val="081C6BDD"/>
    <w:rsid w:val="082A44F6"/>
    <w:rsid w:val="08333BD7"/>
    <w:rsid w:val="08701418"/>
    <w:rsid w:val="089A14F6"/>
    <w:rsid w:val="08BB3F46"/>
    <w:rsid w:val="08C3745F"/>
    <w:rsid w:val="09184A84"/>
    <w:rsid w:val="0996187E"/>
    <w:rsid w:val="099E5107"/>
    <w:rsid w:val="0A2A2D1C"/>
    <w:rsid w:val="0A660254"/>
    <w:rsid w:val="0A690D26"/>
    <w:rsid w:val="0AAB06F4"/>
    <w:rsid w:val="0AF23873"/>
    <w:rsid w:val="0B426DA1"/>
    <w:rsid w:val="0B595D25"/>
    <w:rsid w:val="0BCF48C4"/>
    <w:rsid w:val="0C347FF3"/>
    <w:rsid w:val="0C597297"/>
    <w:rsid w:val="0C820A4C"/>
    <w:rsid w:val="0CD90A9D"/>
    <w:rsid w:val="0D012FBD"/>
    <w:rsid w:val="0D061AE1"/>
    <w:rsid w:val="0D205C25"/>
    <w:rsid w:val="0D233A80"/>
    <w:rsid w:val="0D371F8D"/>
    <w:rsid w:val="0D5F4830"/>
    <w:rsid w:val="0DB4279E"/>
    <w:rsid w:val="0DBC04D7"/>
    <w:rsid w:val="0DDA342A"/>
    <w:rsid w:val="0DDD1A34"/>
    <w:rsid w:val="0E144EFD"/>
    <w:rsid w:val="0E1E24E9"/>
    <w:rsid w:val="0EC107E0"/>
    <w:rsid w:val="0ED13B00"/>
    <w:rsid w:val="0ED1442E"/>
    <w:rsid w:val="0EEE5065"/>
    <w:rsid w:val="0F456918"/>
    <w:rsid w:val="0F4D094A"/>
    <w:rsid w:val="103264C9"/>
    <w:rsid w:val="107D3842"/>
    <w:rsid w:val="1083123A"/>
    <w:rsid w:val="11531700"/>
    <w:rsid w:val="11BD3FB4"/>
    <w:rsid w:val="11F56458"/>
    <w:rsid w:val="12065B6C"/>
    <w:rsid w:val="125C468A"/>
    <w:rsid w:val="1271057B"/>
    <w:rsid w:val="129D55D9"/>
    <w:rsid w:val="12A51B84"/>
    <w:rsid w:val="13162E60"/>
    <w:rsid w:val="131F30E1"/>
    <w:rsid w:val="13CD2E74"/>
    <w:rsid w:val="13E57B68"/>
    <w:rsid w:val="143C16C5"/>
    <w:rsid w:val="14791D18"/>
    <w:rsid w:val="150114A2"/>
    <w:rsid w:val="15323379"/>
    <w:rsid w:val="15B620E3"/>
    <w:rsid w:val="15C40A2A"/>
    <w:rsid w:val="15D36A23"/>
    <w:rsid w:val="160F0897"/>
    <w:rsid w:val="172E15B5"/>
    <w:rsid w:val="173F4C87"/>
    <w:rsid w:val="178D6395"/>
    <w:rsid w:val="18005C8D"/>
    <w:rsid w:val="18011381"/>
    <w:rsid w:val="181B5328"/>
    <w:rsid w:val="188C0EEC"/>
    <w:rsid w:val="188F2832"/>
    <w:rsid w:val="188F4509"/>
    <w:rsid w:val="18A07F16"/>
    <w:rsid w:val="18D5594C"/>
    <w:rsid w:val="194567B4"/>
    <w:rsid w:val="196A48CD"/>
    <w:rsid w:val="19902723"/>
    <w:rsid w:val="1A256A45"/>
    <w:rsid w:val="1A535EC0"/>
    <w:rsid w:val="1A7060AA"/>
    <w:rsid w:val="1AA92A49"/>
    <w:rsid w:val="1AC21931"/>
    <w:rsid w:val="1AC951A6"/>
    <w:rsid w:val="1ACC4FDD"/>
    <w:rsid w:val="1ACF0CEA"/>
    <w:rsid w:val="1B2D021C"/>
    <w:rsid w:val="1B8F7455"/>
    <w:rsid w:val="1B93448A"/>
    <w:rsid w:val="1B980572"/>
    <w:rsid w:val="1BAD08D6"/>
    <w:rsid w:val="1BD75E53"/>
    <w:rsid w:val="1BEC7F24"/>
    <w:rsid w:val="1BEE4220"/>
    <w:rsid w:val="1C242A97"/>
    <w:rsid w:val="1C3A6C74"/>
    <w:rsid w:val="1C4638C8"/>
    <w:rsid w:val="1C616EA1"/>
    <w:rsid w:val="1C9C290E"/>
    <w:rsid w:val="1CD27681"/>
    <w:rsid w:val="1D0373EB"/>
    <w:rsid w:val="1DC70A2E"/>
    <w:rsid w:val="1E253C41"/>
    <w:rsid w:val="1E39350A"/>
    <w:rsid w:val="1E453A77"/>
    <w:rsid w:val="1E8A3923"/>
    <w:rsid w:val="1F506DE4"/>
    <w:rsid w:val="1FE40E25"/>
    <w:rsid w:val="205653B8"/>
    <w:rsid w:val="20956C94"/>
    <w:rsid w:val="20B61559"/>
    <w:rsid w:val="20E16C4E"/>
    <w:rsid w:val="20F079EB"/>
    <w:rsid w:val="212975EF"/>
    <w:rsid w:val="21420122"/>
    <w:rsid w:val="21821784"/>
    <w:rsid w:val="21DC5A2F"/>
    <w:rsid w:val="21E25116"/>
    <w:rsid w:val="21E973A1"/>
    <w:rsid w:val="223C0FB9"/>
    <w:rsid w:val="224530B3"/>
    <w:rsid w:val="226B76DE"/>
    <w:rsid w:val="228E2805"/>
    <w:rsid w:val="22CE3D23"/>
    <w:rsid w:val="22DC63E2"/>
    <w:rsid w:val="233224CF"/>
    <w:rsid w:val="23CA5F75"/>
    <w:rsid w:val="2404248F"/>
    <w:rsid w:val="24407927"/>
    <w:rsid w:val="24560B11"/>
    <w:rsid w:val="246671C0"/>
    <w:rsid w:val="2478290F"/>
    <w:rsid w:val="249A14D4"/>
    <w:rsid w:val="25203737"/>
    <w:rsid w:val="25534320"/>
    <w:rsid w:val="25AB7A13"/>
    <w:rsid w:val="26163E52"/>
    <w:rsid w:val="263B0190"/>
    <w:rsid w:val="263B2B0A"/>
    <w:rsid w:val="264C7D3E"/>
    <w:rsid w:val="265B486A"/>
    <w:rsid w:val="26AF4BF0"/>
    <w:rsid w:val="27036F2E"/>
    <w:rsid w:val="27272BCD"/>
    <w:rsid w:val="276F11F3"/>
    <w:rsid w:val="27D22850"/>
    <w:rsid w:val="27D278A2"/>
    <w:rsid w:val="283D4D57"/>
    <w:rsid w:val="28486E3A"/>
    <w:rsid w:val="28694D70"/>
    <w:rsid w:val="28C16B31"/>
    <w:rsid w:val="28D2534C"/>
    <w:rsid w:val="28D90D6B"/>
    <w:rsid w:val="28F915C1"/>
    <w:rsid w:val="290B18A4"/>
    <w:rsid w:val="29831395"/>
    <w:rsid w:val="299F132A"/>
    <w:rsid w:val="2A176917"/>
    <w:rsid w:val="2A5242BA"/>
    <w:rsid w:val="2A534ADF"/>
    <w:rsid w:val="2A766026"/>
    <w:rsid w:val="2A845212"/>
    <w:rsid w:val="2A8840FF"/>
    <w:rsid w:val="2A936683"/>
    <w:rsid w:val="2A990097"/>
    <w:rsid w:val="2ADA78FE"/>
    <w:rsid w:val="2ADF3A0C"/>
    <w:rsid w:val="2B1C248B"/>
    <w:rsid w:val="2B6335F6"/>
    <w:rsid w:val="2B6E0F7D"/>
    <w:rsid w:val="2BAC691D"/>
    <w:rsid w:val="2BB745D7"/>
    <w:rsid w:val="2BBC200F"/>
    <w:rsid w:val="2BCE7FDF"/>
    <w:rsid w:val="2BEA1433"/>
    <w:rsid w:val="2C35443F"/>
    <w:rsid w:val="2C40682D"/>
    <w:rsid w:val="2C673D07"/>
    <w:rsid w:val="2C7653DA"/>
    <w:rsid w:val="2CBF39BD"/>
    <w:rsid w:val="2CC649C1"/>
    <w:rsid w:val="2CD8552C"/>
    <w:rsid w:val="2D574323"/>
    <w:rsid w:val="2DD61B78"/>
    <w:rsid w:val="2DDE392D"/>
    <w:rsid w:val="2DF038D1"/>
    <w:rsid w:val="2DFC27F2"/>
    <w:rsid w:val="2DFD5547"/>
    <w:rsid w:val="2E3D106A"/>
    <w:rsid w:val="2E9D1940"/>
    <w:rsid w:val="2EDD2D86"/>
    <w:rsid w:val="2F05288A"/>
    <w:rsid w:val="2F4E6856"/>
    <w:rsid w:val="2FDC17D2"/>
    <w:rsid w:val="30303F89"/>
    <w:rsid w:val="30BD0C8D"/>
    <w:rsid w:val="30F74699"/>
    <w:rsid w:val="30F87C0A"/>
    <w:rsid w:val="3167082E"/>
    <w:rsid w:val="31A71756"/>
    <w:rsid w:val="326E42D3"/>
    <w:rsid w:val="32CB0794"/>
    <w:rsid w:val="3300669F"/>
    <w:rsid w:val="331F3CB2"/>
    <w:rsid w:val="339251AE"/>
    <w:rsid w:val="33D40734"/>
    <w:rsid w:val="33D602E0"/>
    <w:rsid w:val="33EB5316"/>
    <w:rsid w:val="340A4D0B"/>
    <w:rsid w:val="34117516"/>
    <w:rsid w:val="341713AC"/>
    <w:rsid w:val="3431735D"/>
    <w:rsid w:val="343D7E6D"/>
    <w:rsid w:val="347315FC"/>
    <w:rsid w:val="34AC6A5F"/>
    <w:rsid w:val="34D460EE"/>
    <w:rsid w:val="350F1967"/>
    <w:rsid w:val="351E616D"/>
    <w:rsid w:val="354649AB"/>
    <w:rsid w:val="354A1D9B"/>
    <w:rsid w:val="355F534F"/>
    <w:rsid w:val="35E76DC2"/>
    <w:rsid w:val="35E8637E"/>
    <w:rsid w:val="364E4851"/>
    <w:rsid w:val="36966EEC"/>
    <w:rsid w:val="36D67942"/>
    <w:rsid w:val="37430F66"/>
    <w:rsid w:val="37615EB9"/>
    <w:rsid w:val="387C6100"/>
    <w:rsid w:val="388A54E9"/>
    <w:rsid w:val="391A1EB3"/>
    <w:rsid w:val="392927B9"/>
    <w:rsid w:val="3933611B"/>
    <w:rsid w:val="39412B1C"/>
    <w:rsid w:val="39474EBD"/>
    <w:rsid w:val="39742B91"/>
    <w:rsid w:val="39C208C9"/>
    <w:rsid w:val="39ED2957"/>
    <w:rsid w:val="39FF01E4"/>
    <w:rsid w:val="3A434ABC"/>
    <w:rsid w:val="3A7903BF"/>
    <w:rsid w:val="3A956F74"/>
    <w:rsid w:val="3AC124F4"/>
    <w:rsid w:val="3AE44507"/>
    <w:rsid w:val="3B3852C2"/>
    <w:rsid w:val="3B4429B9"/>
    <w:rsid w:val="3B5275FB"/>
    <w:rsid w:val="3B5E370B"/>
    <w:rsid w:val="3B7258E2"/>
    <w:rsid w:val="3BDB4D6A"/>
    <w:rsid w:val="3C066E78"/>
    <w:rsid w:val="3C2F0DAF"/>
    <w:rsid w:val="3C35283F"/>
    <w:rsid w:val="3CFF6AD2"/>
    <w:rsid w:val="3D142372"/>
    <w:rsid w:val="3D32083E"/>
    <w:rsid w:val="3D3B56F0"/>
    <w:rsid w:val="3D527798"/>
    <w:rsid w:val="3D7A14EE"/>
    <w:rsid w:val="3D89479D"/>
    <w:rsid w:val="3E0B5319"/>
    <w:rsid w:val="3E412648"/>
    <w:rsid w:val="3E46243F"/>
    <w:rsid w:val="3EB93B26"/>
    <w:rsid w:val="3EE36836"/>
    <w:rsid w:val="3F1F5A17"/>
    <w:rsid w:val="3F23205D"/>
    <w:rsid w:val="3F462CE4"/>
    <w:rsid w:val="3F6E0B8E"/>
    <w:rsid w:val="3FA26216"/>
    <w:rsid w:val="3FA954A8"/>
    <w:rsid w:val="40154D98"/>
    <w:rsid w:val="40254F7A"/>
    <w:rsid w:val="407F1C85"/>
    <w:rsid w:val="40921669"/>
    <w:rsid w:val="40EE6EEC"/>
    <w:rsid w:val="417A3E03"/>
    <w:rsid w:val="41DA7634"/>
    <w:rsid w:val="41FC680C"/>
    <w:rsid w:val="42633CBA"/>
    <w:rsid w:val="42704FAF"/>
    <w:rsid w:val="42BB2649"/>
    <w:rsid w:val="42D52437"/>
    <w:rsid w:val="430172F0"/>
    <w:rsid w:val="430B6887"/>
    <w:rsid w:val="438B60BD"/>
    <w:rsid w:val="438F6F73"/>
    <w:rsid w:val="439E203F"/>
    <w:rsid w:val="43D80B3F"/>
    <w:rsid w:val="43E67120"/>
    <w:rsid w:val="448B2625"/>
    <w:rsid w:val="44A2286E"/>
    <w:rsid w:val="44FD1AF8"/>
    <w:rsid w:val="45015583"/>
    <w:rsid w:val="455A2199"/>
    <w:rsid w:val="456B61BB"/>
    <w:rsid w:val="46160E9A"/>
    <w:rsid w:val="46412D53"/>
    <w:rsid w:val="464A62EB"/>
    <w:rsid w:val="46677B6C"/>
    <w:rsid w:val="46824BFC"/>
    <w:rsid w:val="46CB5FCB"/>
    <w:rsid w:val="46FD7EB6"/>
    <w:rsid w:val="4717258D"/>
    <w:rsid w:val="472F776D"/>
    <w:rsid w:val="4749222F"/>
    <w:rsid w:val="47F33B22"/>
    <w:rsid w:val="48820DFC"/>
    <w:rsid w:val="48BD742B"/>
    <w:rsid w:val="48F0123A"/>
    <w:rsid w:val="49641DFF"/>
    <w:rsid w:val="497E1B39"/>
    <w:rsid w:val="49E1522C"/>
    <w:rsid w:val="4A16249F"/>
    <w:rsid w:val="4A5F6904"/>
    <w:rsid w:val="4A7F396B"/>
    <w:rsid w:val="4ADA29BA"/>
    <w:rsid w:val="4AEA49AC"/>
    <w:rsid w:val="4B1B4BDE"/>
    <w:rsid w:val="4B5749B0"/>
    <w:rsid w:val="4B6D32FF"/>
    <w:rsid w:val="4C692139"/>
    <w:rsid w:val="4C71131E"/>
    <w:rsid w:val="4CB372DB"/>
    <w:rsid w:val="4CE3517C"/>
    <w:rsid w:val="4D5E5F33"/>
    <w:rsid w:val="4D757281"/>
    <w:rsid w:val="4D7C1F11"/>
    <w:rsid w:val="4D7F7BAB"/>
    <w:rsid w:val="4E0542F2"/>
    <w:rsid w:val="4E2B1832"/>
    <w:rsid w:val="4E9C1A4F"/>
    <w:rsid w:val="4E9C2162"/>
    <w:rsid w:val="4EA37040"/>
    <w:rsid w:val="4EF20C18"/>
    <w:rsid w:val="4F3A65AB"/>
    <w:rsid w:val="4F6905A5"/>
    <w:rsid w:val="4FC05487"/>
    <w:rsid w:val="4FC80CFA"/>
    <w:rsid w:val="507767B3"/>
    <w:rsid w:val="50807B8F"/>
    <w:rsid w:val="50A33CA1"/>
    <w:rsid w:val="50EA1D2A"/>
    <w:rsid w:val="5161677D"/>
    <w:rsid w:val="51B769C2"/>
    <w:rsid w:val="525173E0"/>
    <w:rsid w:val="52585A25"/>
    <w:rsid w:val="527B13B7"/>
    <w:rsid w:val="52B96008"/>
    <w:rsid w:val="52D256A6"/>
    <w:rsid w:val="535015C7"/>
    <w:rsid w:val="536C0F29"/>
    <w:rsid w:val="536C6E69"/>
    <w:rsid w:val="537422F6"/>
    <w:rsid w:val="53C45B29"/>
    <w:rsid w:val="540B1DF7"/>
    <w:rsid w:val="542A7AA4"/>
    <w:rsid w:val="546F7901"/>
    <w:rsid w:val="54867038"/>
    <w:rsid w:val="549379F7"/>
    <w:rsid w:val="54BB49CA"/>
    <w:rsid w:val="54DD2688"/>
    <w:rsid w:val="54DD6287"/>
    <w:rsid w:val="54E46EC4"/>
    <w:rsid w:val="5516125F"/>
    <w:rsid w:val="55165C85"/>
    <w:rsid w:val="55481EE5"/>
    <w:rsid w:val="55494DD2"/>
    <w:rsid w:val="554A6E6C"/>
    <w:rsid w:val="56227BDC"/>
    <w:rsid w:val="56602390"/>
    <w:rsid w:val="566E4F61"/>
    <w:rsid w:val="567F7F2E"/>
    <w:rsid w:val="56C86FEC"/>
    <w:rsid w:val="57123FDC"/>
    <w:rsid w:val="572144C8"/>
    <w:rsid w:val="57AE4111"/>
    <w:rsid w:val="57BB1AEF"/>
    <w:rsid w:val="57FE2EB5"/>
    <w:rsid w:val="58A8281B"/>
    <w:rsid w:val="58C67691"/>
    <w:rsid w:val="58D87D6C"/>
    <w:rsid w:val="59860A2F"/>
    <w:rsid w:val="599E6FBF"/>
    <w:rsid w:val="59A26A76"/>
    <w:rsid w:val="59B50C4C"/>
    <w:rsid w:val="59E83BDF"/>
    <w:rsid w:val="5A4A1DCB"/>
    <w:rsid w:val="5A4F1163"/>
    <w:rsid w:val="5A6E0C9F"/>
    <w:rsid w:val="5ACF6F8D"/>
    <w:rsid w:val="5ADD63CB"/>
    <w:rsid w:val="5B160421"/>
    <w:rsid w:val="5B1D7908"/>
    <w:rsid w:val="5B4E1D7F"/>
    <w:rsid w:val="5B594BBA"/>
    <w:rsid w:val="5B6A225E"/>
    <w:rsid w:val="5BC34E8D"/>
    <w:rsid w:val="5BF141C0"/>
    <w:rsid w:val="5C0B5496"/>
    <w:rsid w:val="5C2727D3"/>
    <w:rsid w:val="5C3E0408"/>
    <w:rsid w:val="5C9556D9"/>
    <w:rsid w:val="5C980D3B"/>
    <w:rsid w:val="5CA2584F"/>
    <w:rsid w:val="5CBB562F"/>
    <w:rsid w:val="5CF86C38"/>
    <w:rsid w:val="5D2D79DE"/>
    <w:rsid w:val="5D671A23"/>
    <w:rsid w:val="5D6768F9"/>
    <w:rsid w:val="5D9A642F"/>
    <w:rsid w:val="5DB61A89"/>
    <w:rsid w:val="5E237D00"/>
    <w:rsid w:val="5E3A195D"/>
    <w:rsid w:val="5EC15D06"/>
    <w:rsid w:val="5F533B53"/>
    <w:rsid w:val="5F976543"/>
    <w:rsid w:val="5FC230F4"/>
    <w:rsid w:val="5FCF5DB3"/>
    <w:rsid w:val="5FEA28F4"/>
    <w:rsid w:val="600E576C"/>
    <w:rsid w:val="603F4772"/>
    <w:rsid w:val="60914CCA"/>
    <w:rsid w:val="60AE1AFD"/>
    <w:rsid w:val="60B957E4"/>
    <w:rsid w:val="612E4C37"/>
    <w:rsid w:val="61AE1AD8"/>
    <w:rsid w:val="61F24670"/>
    <w:rsid w:val="621004B9"/>
    <w:rsid w:val="6245436F"/>
    <w:rsid w:val="62CC3E75"/>
    <w:rsid w:val="641C29D4"/>
    <w:rsid w:val="647F27B6"/>
    <w:rsid w:val="64D32BC5"/>
    <w:rsid w:val="64DF2C0C"/>
    <w:rsid w:val="65FD0D9C"/>
    <w:rsid w:val="66362990"/>
    <w:rsid w:val="667157A6"/>
    <w:rsid w:val="66A37243"/>
    <w:rsid w:val="66AD0A9A"/>
    <w:rsid w:val="673030AD"/>
    <w:rsid w:val="678D79DF"/>
    <w:rsid w:val="67BA5E3C"/>
    <w:rsid w:val="67D72F0F"/>
    <w:rsid w:val="68092A83"/>
    <w:rsid w:val="68345018"/>
    <w:rsid w:val="6898301A"/>
    <w:rsid w:val="68AA0729"/>
    <w:rsid w:val="69500D4D"/>
    <w:rsid w:val="697F71D7"/>
    <w:rsid w:val="698D107A"/>
    <w:rsid w:val="69A57E78"/>
    <w:rsid w:val="69C52EB2"/>
    <w:rsid w:val="69DD6DB4"/>
    <w:rsid w:val="69F10584"/>
    <w:rsid w:val="6A1E60D7"/>
    <w:rsid w:val="6A440A7E"/>
    <w:rsid w:val="6A563E04"/>
    <w:rsid w:val="6AC11157"/>
    <w:rsid w:val="6AF102DC"/>
    <w:rsid w:val="6B72725F"/>
    <w:rsid w:val="6B8F1E5B"/>
    <w:rsid w:val="6BBC3F1B"/>
    <w:rsid w:val="6C540744"/>
    <w:rsid w:val="6C5E7517"/>
    <w:rsid w:val="6C755731"/>
    <w:rsid w:val="6C792C63"/>
    <w:rsid w:val="6C793997"/>
    <w:rsid w:val="6CE36B31"/>
    <w:rsid w:val="6D0070E3"/>
    <w:rsid w:val="6D235139"/>
    <w:rsid w:val="6D2E41C2"/>
    <w:rsid w:val="6D520771"/>
    <w:rsid w:val="6E4D5D69"/>
    <w:rsid w:val="6E612128"/>
    <w:rsid w:val="6E702150"/>
    <w:rsid w:val="6ED028B6"/>
    <w:rsid w:val="6F5808D0"/>
    <w:rsid w:val="6F5E1C3E"/>
    <w:rsid w:val="6FE95867"/>
    <w:rsid w:val="70211E5D"/>
    <w:rsid w:val="704A391C"/>
    <w:rsid w:val="70995F89"/>
    <w:rsid w:val="713F4D9B"/>
    <w:rsid w:val="71703DB9"/>
    <w:rsid w:val="71E6760A"/>
    <w:rsid w:val="71F7798D"/>
    <w:rsid w:val="729D002C"/>
    <w:rsid w:val="72BE43E5"/>
    <w:rsid w:val="72D55117"/>
    <w:rsid w:val="732F60EA"/>
    <w:rsid w:val="73601AA0"/>
    <w:rsid w:val="736851EA"/>
    <w:rsid w:val="73AF770F"/>
    <w:rsid w:val="73E359B6"/>
    <w:rsid w:val="74013BB9"/>
    <w:rsid w:val="74097449"/>
    <w:rsid w:val="746E2BD7"/>
    <w:rsid w:val="74C42D12"/>
    <w:rsid w:val="74DF10F5"/>
    <w:rsid w:val="74FC4FB2"/>
    <w:rsid w:val="752A42FC"/>
    <w:rsid w:val="753D68E3"/>
    <w:rsid w:val="761C7661"/>
    <w:rsid w:val="767A68A9"/>
    <w:rsid w:val="76AA2F8D"/>
    <w:rsid w:val="76B50608"/>
    <w:rsid w:val="770E5F4C"/>
    <w:rsid w:val="773F6D7E"/>
    <w:rsid w:val="77437B63"/>
    <w:rsid w:val="783E1927"/>
    <w:rsid w:val="78872F62"/>
    <w:rsid w:val="78B82080"/>
    <w:rsid w:val="78E032C5"/>
    <w:rsid w:val="790F25CE"/>
    <w:rsid w:val="791F1287"/>
    <w:rsid w:val="7927511C"/>
    <w:rsid w:val="79320FF4"/>
    <w:rsid w:val="79633927"/>
    <w:rsid w:val="79B62F0A"/>
    <w:rsid w:val="79CB2F49"/>
    <w:rsid w:val="79E068D3"/>
    <w:rsid w:val="7A0D116A"/>
    <w:rsid w:val="7A137ED4"/>
    <w:rsid w:val="7A1E09D9"/>
    <w:rsid w:val="7A2040EC"/>
    <w:rsid w:val="7A331B6A"/>
    <w:rsid w:val="7A6B5763"/>
    <w:rsid w:val="7A8B470C"/>
    <w:rsid w:val="7A9E7974"/>
    <w:rsid w:val="7AA70977"/>
    <w:rsid w:val="7AB80F55"/>
    <w:rsid w:val="7B47023A"/>
    <w:rsid w:val="7B817A31"/>
    <w:rsid w:val="7B926E8F"/>
    <w:rsid w:val="7BB762A3"/>
    <w:rsid w:val="7BC03D43"/>
    <w:rsid w:val="7BEE0CC5"/>
    <w:rsid w:val="7C501984"/>
    <w:rsid w:val="7C8F2E2A"/>
    <w:rsid w:val="7CA66FDF"/>
    <w:rsid w:val="7D43468F"/>
    <w:rsid w:val="7D862B7F"/>
    <w:rsid w:val="7D8739F6"/>
    <w:rsid w:val="7D9C27B2"/>
    <w:rsid w:val="7DD066E4"/>
    <w:rsid w:val="7DF33A26"/>
    <w:rsid w:val="7E231BE7"/>
    <w:rsid w:val="7E850F44"/>
    <w:rsid w:val="7EAE2964"/>
    <w:rsid w:val="7EE97D42"/>
    <w:rsid w:val="7F1109B6"/>
    <w:rsid w:val="7F5C6269"/>
    <w:rsid w:val="7F9210A9"/>
    <w:rsid w:val="7FF2106E"/>
    <w:rsid w:val="7FF33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
    <w:pPr>
      <w:spacing w:before="100" w:beforeAutospacing="1" w:after="100" w:afterAutospacing="1"/>
      <w:jc w:val="left"/>
      <w:outlineLvl w:val="3"/>
    </w:pPr>
    <w:rPr>
      <w:rFonts w:hint="eastAsia" w:ascii="宋体" w:hAnsi="宋体"/>
      <w:b/>
      <w:kern w:val="0"/>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unhideWhenUsed/>
    <w:qFormat/>
    <w:uiPriority w:val="99"/>
    <w:pPr>
      <w:ind w:firstLine="200" w:firstLineChars="200"/>
    </w:pPr>
  </w:style>
  <w:style w:type="paragraph" w:styleId="4">
    <w:name w:val="index 6"/>
    <w:basedOn w:val="1"/>
    <w:next w:val="1"/>
    <w:qFormat/>
    <w:uiPriority w:val="0"/>
    <w:pPr>
      <w:ind w:firstLine="189" w:firstLineChars="189"/>
    </w:pPr>
    <w:rPr>
      <w:rFonts w:ascii="仿宋" w:eastAsia="仿宋"/>
      <w:sz w:val="30"/>
      <w:szCs w:val="30"/>
    </w:rPr>
  </w:style>
  <w:style w:type="paragraph" w:styleId="5">
    <w:name w:val="Body Text"/>
    <w:basedOn w:val="1"/>
    <w:next w:val="1"/>
    <w:qFormat/>
    <w:uiPriority w:val="0"/>
    <w:pPr>
      <w:snapToGrid w:val="0"/>
      <w:spacing w:line="579" w:lineRule="exact"/>
    </w:pPr>
    <w:rPr>
      <w:rFonts w:eastAsia="仿宋_GB2312"/>
      <w:sz w:val="32"/>
      <w:szCs w:val="20"/>
    </w:rPr>
  </w:style>
  <w:style w:type="paragraph" w:styleId="6">
    <w:name w:val="Body Text Indent"/>
    <w:basedOn w:val="1"/>
    <w:next w:val="7"/>
    <w:qFormat/>
    <w:uiPriority w:val="0"/>
    <w:pPr>
      <w:spacing w:line="540" w:lineRule="exact"/>
      <w:ind w:left="626" w:hanging="626" w:hangingChars="200"/>
    </w:pPr>
    <w:rPr>
      <w:rFonts w:ascii="仿宋_GB2312" w:eastAsia="仿宋_GB2312"/>
      <w:sz w:val="30"/>
      <w:szCs w:val="20"/>
    </w:rPr>
  </w:style>
  <w:style w:type="paragraph" w:styleId="7">
    <w:name w:val="Body Text Indent 2"/>
    <w:basedOn w:val="1"/>
    <w:next w:val="1"/>
    <w:qFormat/>
    <w:uiPriority w:val="0"/>
    <w:pPr>
      <w:spacing w:after="120" w:line="480" w:lineRule="auto"/>
      <w:ind w:left="420" w:leftChars="200"/>
    </w:pPr>
  </w:style>
  <w:style w:type="paragraph" w:styleId="8">
    <w:name w:val="footer"/>
    <w:basedOn w:val="1"/>
    <w:next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6"/>
    <w:next w:val="1"/>
    <w:qFormat/>
    <w:uiPriority w:val="0"/>
    <w:pPr>
      <w:ind w:firstLine="420" w:firstLineChars="200"/>
    </w:pPr>
  </w:style>
  <w:style w:type="paragraph" w:customStyle="1" w:styleId="13">
    <w:name w:val="列出段落1"/>
    <w:basedOn w:val="1"/>
    <w:qFormat/>
    <w:uiPriority w:val="0"/>
    <w:pPr>
      <w:ind w:firstLine="200" w:firstLineChars="200"/>
    </w:pPr>
  </w:style>
  <w:style w:type="character" w:customStyle="1" w:styleId="14">
    <w:name w:val="font31"/>
    <w:basedOn w:val="12"/>
    <w:qFormat/>
    <w:uiPriority w:val="0"/>
    <w:rPr>
      <w:rFonts w:ascii="黑体" w:hAnsi="宋体" w:eastAsia="黑体" w:cs="黑体"/>
      <w:color w:val="000000"/>
      <w:sz w:val="40"/>
      <w:szCs w:val="40"/>
      <w:u w:val="none"/>
    </w:rPr>
  </w:style>
  <w:style w:type="character" w:customStyle="1" w:styleId="15">
    <w:name w:val="font21"/>
    <w:basedOn w:val="12"/>
    <w:qFormat/>
    <w:uiPriority w:val="0"/>
    <w:rPr>
      <w:rFonts w:hint="eastAsia" w:ascii="宋体" w:hAnsi="宋体" w:eastAsia="宋体" w:cs="宋体"/>
      <w:b/>
      <w:color w:val="000000"/>
      <w:sz w:val="32"/>
      <w:szCs w:val="32"/>
      <w:u w:val="none"/>
    </w:rPr>
  </w:style>
  <w:style w:type="character" w:customStyle="1" w:styleId="16">
    <w:name w:val="font81"/>
    <w:basedOn w:val="12"/>
    <w:qFormat/>
    <w:uiPriority w:val="0"/>
    <w:rPr>
      <w:rFonts w:ascii="黑体" w:hAnsi="宋体" w:eastAsia="黑体" w:cs="黑体"/>
      <w:color w:val="000000"/>
      <w:sz w:val="40"/>
      <w:szCs w:val="40"/>
      <w:u w:val="none"/>
    </w:rPr>
  </w:style>
  <w:style w:type="character" w:customStyle="1" w:styleId="17">
    <w:name w:val="font11"/>
    <w:basedOn w:val="12"/>
    <w:qFormat/>
    <w:uiPriority w:val="0"/>
    <w:rPr>
      <w:rFonts w:ascii="黑体" w:hAnsi="宋体" w:eastAsia="黑体" w:cs="黑体"/>
      <w:color w:val="000000"/>
      <w:sz w:val="36"/>
      <w:szCs w:val="36"/>
      <w:u w:val="none"/>
    </w:rPr>
  </w:style>
  <w:style w:type="character" w:customStyle="1" w:styleId="18">
    <w:name w:val="font41"/>
    <w:basedOn w:val="12"/>
    <w:qFormat/>
    <w:uiPriority w:val="0"/>
    <w:rPr>
      <w:rFonts w:ascii="黑体" w:hAnsi="宋体" w:eastAsia="黑体" w:cs="黑体"/>
      <w:color w:val="000000"/>
      <w:sz w:val="36"/>
      <w:szCs w:val="36"/>
      <w:u w:val="none"/>
    </w:rPr>
  </w:style>
  <w:style w:type="character" w:customStyle="1" w:styleId="19">
    <w:name w:val="font112"/>
    <w:basedOn w:val="12"/>
    <w:qFormat/>
    <w:uiPriority w:val="0"/>
    <w:rPr>
      <w:rFonts w:hint="default" w:ascii="Times New Roman" w:hAnsi="Times New Roman" w:cs="Times New Roman"/>
      <w:color w:val="000000"/>
      <w:sz w:val="24"/>
      <w:szCs w:val="24"/>
      <w:u w:val="none"/>
    </w:rPr>
  </w:style>
  <w:style w:type="paragraph" w:customStyle="1" w:styleId="20">
    <w:name w:val="WPSOffice手动目录 1"/>
    <w:qFormat/>
    <w:uiPriority w:val="0"/>
    <w:pPr>
      <w:ind w:leftChars="0"/>
    </w:pPr>
    <w:rPr>
      <w:rFonts w:asciiTheme="minorHAnsi" w:hAnsiTheme="minorHAnsi" w:eastAsiaTheme="minorEastAsia" w:cstheme="minorBidi"/>
      <w:sz w:val="20"/>
      <w:szCs w:val="20"/>
    </w:rPr>
  </w:style>
  <w:style w:type="paragraph" w:customStyle="1" w:styleId="21">
    <w:name w:val="WPSOffice手动目录 2"/>
    <w:qFormat/>
    <w:uiPriority w:val="0"/>
    <w:pPr>
      <w:ind w:leftChars="200"/>
    </w:pPr>
    <w:rPr>
      <w:rFonts w:asciiTheme="minorHAnsi" w:hAnsiTheme="minorHAnsi" w:eastAsiaTheme="minorEastAsia" w:cstheme="minorBidi"/>
      <w:sz w:val="20"/>
      <w:szCs w:val="20"/>
    </w:rPr>
  </w:style>
  <w:style w:type="paragraph" w:customStyle="1" w:styleId="22">
    <w:name w:val="普通(网站)1"/>
    <w:next w:val="4"/>
    <w:qFormat/>
    <w:uiPriority w:val="0"/>
    <w:pPr>
      <w:spacing w:before="100" w:beforeAutospacing="1" w:after="100" w:afterAutospacing="1"/>
    </w:pPr>
    <w:rPr>
      <w:rFonts w:ascii="Times New Roman" w:hAnsi="Times New Roman" w:eastAsia="宋体" w:cs="Times New Roman"/>
      <w:kern w:val="2"/>
      <w:sz w:val="24"/>
      <w:szCs w:val="24"/>
      <w:lang w:val="en-US" w:eastAsia="zh-CN" w:bidi="ar-SA"/>
    </w:rPr>
  </w:style>
  <w:style w:type="paragraph" w:customStyle="1" w:styleId="23">
    <w:name w:val="正文 首缩2"/>
    <w:basedOn w:val="3"/>
    <w:next w:val="10"/>
    <w:qFormat/>
    <w:uiPriority w:val="99"/>
    <w:pPr>
      <w:ind w:firstLine="560"/>
    </w:pPr>
    <w:rPr>
      <w:sz w:val="28"/>
      <w:szCs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cc3f5c8-7f71-456e-9416-0fed207edcd3}"/>
        <w:style w:val=""/>
        <w:category>
          <w:name w:val="常规"/>
          <w:gallery w:val="placeholder"/>
        </w:category>
        <w:types>
          <w:type w:val="bbPlcHdr"/>
        </w:types>
        <w:behaviors>
          <w:behavior w:val="content"/>
        </w:behaviors>
        <w:description w:val=""/>
        <w:guid w:val="{4cc3f5c8-7f71-456e-9416-0fed207edcd3}"/>
      </w:docPartPr>
      <w:docPartBody>
        <w:p>
          <w:r>
            <w:rPr>
              <w:color w:val="808080"/>
            </w:rPr>
            <w:t>单击此处输入文字。</w:t>
          </w:r>
        </w:p>
      </w:docPartBody>
    </w:docPart>
    <w:docPart>
      <w:docPartPr>
        <w:name w:val="{e737bdd4-74df-40ec-b935-0833342914a6}"/>
        <w:style w:val=""/>
        <w:category>
          <w:name w:val="常规"/>
          <w:gallery w:val="placeholder"/>
        </w:category>
        <w:types>
          <w:type w:val="bbPlcHdr"/>
        </w:types>
        <w:behaviors>
          <w:behavior w:val="content"/>
        </w:behaviors>
        <w:description w:val=""/>
        <w:guid w:val="{e737bdd4-74df-40ec-b935-0833342914a6}"/>
      </w:docPartPr>
      <w:docPartBody>
        <w:p>
          <w:r>
            <w:rPr>
              <w:color w:val="808080"/>
            </w:rPr>
            <w:t>单击此处输入文字。</w:t>
          </w:r>
        </w:p>
      </w:docPartBody>
    </w:docPart>
    <w:docPart>
      <w:docPartPr>
        <w:name w:val="{cf98847a-29ea-4e3b-ad43-8adcc6a14553}"/>
        <w:style w:val=""/>
        <w:category>
          <w:name w:val="常规"/>
          <w:gallery w:val="placeholder"/>
        </w:category>
        <w:types>
          <w:type w:val="bbPlcHdr"/>
        </w:types>
        <w:behaviors>
          <w:behavior w:val="content"/>
        </w:behaviors>
        <w:description w:val=""/>
        <w:guid w:val="{cf98847a-29ea-4e3b-ad43-8adcc6a14553}"/>
      </w:docPartPr>
      <w:docPartBody>
        <w:p>
          <w:r>
            <w:rPr>
              <w:color w:val="808080"/>
            </w:rPr>
            <w:t>单击此处输入文字。</w:t>
          </w:r>
        </w:p>
      </w:docPartBody>
    </w:docPart>
    <w:docPart>
      <w:docPartPr>
        <w:name w:val="{4d221aca-11c5-42cd-bb20-ec5ac27e1d7b}"/>
        <w:style w:val=""/>
        <w:category>
          <w:name w:val="常规"/>
          <w:gallery w:val="placeholder"/>
        </w:category>
        <w:types>
          <w:type w:val="bbPlcHdr"/>
        </w:types>
        <w:behaviors>
          <w:behavior w:val="content"/>
        </w:behaviors>
        <w:description w:val=""/>
        <w:guid w:val="{4d221aca-11c5-42cd-bb20-ec5ac27e1d7b}"/>
      </w:docPartPr>
      <w:docPartBody>
        <w:p>
          <w:r>
            <w:rPr>
              <w:color w:val="808080"/>
            </w:rPr>
            <w:t>单击此处输入文字。</w:t>
          </w:r>
        </w:p>
      </w:docPartBody>
    </w:docPart>
    <w:docPart>
      <w:docPartPr>
        <w:name w:val="{8d9caba8-e915-44a0-8da9-b524aa2e8e01}"/>
        <w:style w:val=""/>
        <w:category>
          <w:name w:val="常规"/>
          <w:gallery w:val="placeholder"/>
        </w:category>
        <w:types>
          <w:type w:val="bbPlcHdr"/>
        </w:types>
        <w:behaviors>
          <w:behavior w:val="content"/>
        </w:behaviors>
        <w:description w:val=""/>
        <w:guid w:val="{8d9caba8-e915-44a0-8da9-b524aa2e8e01}"/>
      </w:docPartPr>
      <w:docPartBody>
        <w:p>
          <w:r>
            <w:rPr>
              <w:color w:val="808080"/>
            </w:rPr>
            <w:t>单击此处输入文字。</w:t>
          </w:r>
        </w:p>
      </w:docPartBody>
    </w:docPart>
    <w:docPart>
      <w:docPartPr>
        <w:name w:val="{87d95b1c-df9e-4387-bd36-736b291b6328}"/>
        <w:style w:val=""/>
        <w:category>
          <w:name w:val="常规"/>
          <w:gallery w:val="placeholder"/>
        </w:category>
        <w:types>
          <w:type w:val="bbPlcHdr"/>
        </w:types>
        <w:behaviors>
          <w:behavior w:val="content"/>
        </w:behaviors>
        <w:description w:val=""/>
        <w:guid w:val="{87d95b1c-df9e-4387-bd36-736b291b6328}"/>
      </w:docPartPr>
      <w:docPartBody>
        <w:p>
          <w:r>
            <w:rPr>
              <w:color w:val="808080"/>
            </w:rPr>
            <w:t>单击此处输入文字。</w:t>
          </w:r>
        </w:p>
      </w:docPartBody>
    </w:docPart>
    <w:docPart>
      <w:docPartPr>
        <w:name w:val="{b58bb233-59e8-4f2f-8715-d96534589ba1}"/>
        <w:style w:val=""/>
        <w:category>
          <w:name w:val="常规"/>
          <w:gallery w:val="placeholder"/>
        </w:category>
        <w:types>
          <w:type w:val="bbPlcHdr"/>
        </w:types>
        <w:behaviors>
          <w:behavior w:val="content"/>
        </w:behaviors>
        <w:description w:val=""/>
        <w:guid w:val="{b58bb233-59e8-4f2f-8715-d96534589ba1}"/>
      </w:docPartPr>
      <w:docPartBody>
        <w:p>
          <w:r>
            <w:rPr>
              <w:color w:val="808080"/>
            </w:rPr>
            <w:t>单击此处输入文字。</w:t>
          </w:r>
        </w:p>
      </w:docPartBody>
    </w:docPart>
    <w:docPart>
      <w:docPartPr>
        <w:name w:val="{4fefc3b4-2d50-4338-a1a8-4889dcc4b521}"/>
        <w:style w:val=""/>
        <w:category>
          <w:name w:val="常规"/>
          <w:gallery w:val="placeholder"/>
        </w:category>
        <w:types>
          <w:type w:val="bbPlcHdr"/>
        </w:types>
        <w:behaviors>
          <w:behavior w:val="content"/>
        </w:behaviors>
        <w:description w:val=""/>
        <w:guid w:val="{4fefc3b4-2d50-4338-a1a8-4889dcc4b521}"/>
      </w:docPartPr>
      <w:docPartBody>
        <w:p>
          <w:r>
            <w:rPr>
              <w:color w:val="808080"/>
            </w:rPr>
            <w:t>单击此处输入文字。</w:t>
          </w:r>
        </w:p>
      </w:docPartBody>
    </w:docPart>
    <w:docPart>
      <w:docPartPr>
        <w:name w:val="{4a89f48d-a47d-46ec-ab56-5bbb88a96d16}"/>
        <w:style w:val=""/>
        <w:category>
          <w:name w:val="常规"/>
          <w:gallery w:val="placeholder"/>
        </w:category>
        <w:types>
          <w:type w:val="bbPlcHdr"/>
        </w:types>
        <w:behaviors>
          <w:behavior w:val="content"/>
        </w:behaviors>
        <w:description w:val=""/>
        <w:guid w:val="{4a89f48d-a47d-46ec-ab56-5bbb88a96d16}"/>
      </w:docPartPr>
      <w:docPartBody>
        <w:p>
          <w:r>
            <w:rPr>
              <w:color w:val="808080"/>
            </w:rPr>
            <w:t>单击此处输入文字。</w:t>
          </w:r>
        </w:p>
      </w:docPartBody>
    </w:docPart>
    <w:docPart>
      <w:docPartPr>
        <w:name w:val="{423cd953-7b32-4632-ba3b-c712a62b8916}"/>
        <w:style w:val=""/>
        <w:category>
          <w:name w:val="常规"/>
          <w:gallery w:val="placeholder"/>
        </w:category>
        <w:types>
          <w:type w:val="bbPlcHdr"/>
        </w:types>
        <w:behaviors>
          <w:behavior w:val="content"/>
        </w:behaviors>
        <w:description w:val=""/>
        <w:guid w:val="{423cd953-7b32-4632-ba3b-c712a62b8916}"/>
      </w:docPartPr>
      <w:docPartBody>
        <w:p>
          <w:r>
            <w:rPr>
              <w:color w:val="808080"/>
            </w:rPr>
            <w:t>单击此处输入文字。</w:t>
          </w:r>
        </w:p>
      </w:docPartBody>
    </w:docPart>
    <w:docPart>
      <w:docPartPr>
        <w:name w:val="{9a26e859-b3ee-42b5-a43c-5bd223720203}"/>
        <w:style w:val=""/>
        <w:category>
          <w:name w:val="常规"/>
          <w:gallery w:val="placeholder"/>
        </w:category>
        <w:types>
          <w:type w:val="bbPlcHdr"/>
        </w:types>
        <w:behaviors>
          <w:behavior w:val="content"/>
        </w:behaviors>
        <w:description w:val=""/>
        <w:guid w:val="{9a26e859-b3ee-42b5-a43c-5bd223720203}"/>
      </w:docPartPr>
      <w:docPartBody>
        <w:p>
          <w:r>
            <w:rPr>
              <w:color w:val="808080"/>
            </w:rPr>
            <w:t>单击此处输入文字。</w:t>
          </w:r>
        </w:p>
      </w:docPartBody>
    </w:docPart>
    <w:docPart>
      <w:docPartPr>
        <w:name w:val="{b3b3f46e-b807-436c-ad91-c9842ebfee70}"/>
        <w:style w:val=""/>
        <w:category>
          <w:name w:val="常规"/>
          <w:gallery w:val="placeholder"/>
        </w:category>
        <w:types>
          <w:type w:val="bbPlcHdr"/>
        </w:types>
        <w:behaviors>
          <w:behavior w:val="content"/>
        </w:behaviors>
        <w:description w:val=""/>
        <w:guid w:val="{b3b3f46e-b807-436c-ad91-c9842ebfee70}"/>
      </w:docPartPr>
      <w:docPartBody>
        <w:p>
          <w:r>
            <w:rPr>
              <w:color w:val="808080"/>
            </w:rPr>
            <w:t>单击此处输入文字。</w:t>
          </w:r>
        </w:p>
      </w:docPartBody>
    </w:docPart>
    <w:docPart>
      <w:docPartPr>
        <w:name w:val="{e29efa9c-a763-45eb-97af-34deb7086061}"/>
        <w:style w:val=""/>
        <w:category>
          <w:name w:val="常规"/>
          <w:gallery w:val="placeholder"/>
        </w:category>
        <w:types>
          <w:type w:val="bbPlcHdr"/>
        </w:types>
        <w:behaviors>
          <w:behavior w:val="content"/>
        </w:behaviors>
        <w:description w:val=""/>
        <w:guid w:val="{e29efa9c-a763-45eb-97af-34deb7086061}"/>
      </w:docPartPr>
      <w:docPartBody>
        <w:p>
          <w:r>
            <w:rPr>
              <w:color w:val="808080"/>
            </w:rPr>
            <w:t>单击此处输入文字。</w:t>
          </w:r>
        </w:p>
      </w:docPartBody>
    </w:docPart>
    <w:docPart>
      <w:docPartPr>
        <w:name w:val="{e78321b0-f680-47ed-9d91-766c2421d789}"/>
        <w:style w:val=""/>
        <w:category>
          <w:name w:val="常规"/>
          <w:gallery w:val="placeholder"/>
        </w:category>
        <w:types>
          <w:type w:val="bbPlcHdr"/>
        </w:types>
        <w:behaviors>
          <w:behavior w:val="content"/>
        </w:behaviors>
        <w:description w:val=""/>
        <w:guid w:val="{e78321b0-f680-47ed-9d91-766c2421d789}"/>
      </w:docPartPr>
      <w:docPartBody>
        <w:p>
          <w:r>
            <w:rPr>
              <w:color w:val="808080"/>
            </w:rPr>
            <w:t>单击此处输入文字。</w:t>
          </w:r>
        </w:p>
      </w:docPartBody>
    </w:docPart>
    <w:docPart>
      <w:docPartPr>
        <w:name w:val="{fc3a50d5-8896-4398-a98a-8bfaa7e813f4}"/>
        <w:style w:val=""/>
        <w:category>
          <w:name w:val="常规"/>
          <w:gallery w:val="placeholder"/>
        </w:category>
        <w:types>
          <w:type w:val="bbPlcHdr"/>
        </w:types>
        <w:behaviors>
          <w:behavior w:val="content"/>
        </w:behaviors>
        <w:description w:val=""/>
        <w:guid w:val="{fc3a50d5-8896-4398-a98a-8bfaa7e813f4}"/>
      </w:docPartPr>
      <w:docPartBody>
        <w:p>
          <w:r>
            <w:rPr>
              <w:color w:val="808080"/>
            </w:rPr>
            <w:t>单击此处输入文字。</w:t>
          </w:r>
        </w:p>
      </w:docPartBody>
    </w:docPart>
    <w:docPart>
      <w:docPartPr>
        <w:name w:val="{f06f43f1-140b-40dd-be72-875991bc3088}"/>
        <w:style w:val=""/>
        <w:category>
          <w:name w:val="常规"/>
          <w:gallery w:val="placeholder"/>
        </w:category>
        <w:types>
          <w:type w:val="bbPlcHdr"/>
        </w:types>
        <w:behaviors>
          <w:behavior w:val="content"/>
        </w:behaviors>
        <w:description w:val=""/>
        <w:guid w:val="{f06f43f1-140b-40dd-be72-875991bc3088}"/>
      </w:docPartPr>
      <w:docPartBody>
        <w:p>
          <w:r>
            <w:rPr>
              <w:color w:val="808080"/>
            </w:rPr>
            <w:t>单击此处输入文字。</w:t>
          </w:r>
        </w:p>
      </w:docPartBody>
    </w:docPart>
    <w:docPart>
      <w:docPartPr>
        <w:name w:val="{5ef76bca-07c8-48b4-9e65-b5944a481929}"/>
        <w:style w:val=""/>
        <w:category>
          <w:name w:val="常规"/>
          <w:gallery w:val="placeholder"/>
        </w:category>
        <w:types>
          <w:type w:val="bbPlcHdr"/>
        </w:types>
        <w:behaviors>
          <w:behavior w:val="content"/>
        </w:behaviors>
        <w:description w:val=""/>
        <w:guid w:val="{5ef76bca-07c8-48b4-9e65-b5944a481929}"/>
      </w:docPartPr>
      <w:docPartBody>
        <w:p>
          <w:r>
            <w:rPr>
              <w:color w:val="808080"/>
            </w:rPr>
            <w:t>单击此处输入文字。</w:t>
          </w:r>
        </w:p>
      </w:docPartBody>
    </w:docPart>
    <w:docPart>
      <w:docPartPr>
        <w:name w:val="{fa9ae1b6-f905-41f0-aa98-72c1f8e8ad88}"/>
        <w:style w:val=""/>
        <w:category>
          <w:name w:val="常规"/>
          <w:gallery w:val="placeholder"/>
        </w:category>
        <w:types>
          <w:type w:val="bbPlcHdr"/>
        </w:types>
        <w:behaviors>
          <w:behavior w:val="content"/>
        </w:behaviors>
        <w:description w:val=""/>
        <w:guid w:val="{fa9ae1b6-f905-41f0-aa98-72c1f8e8ad88}"/>
      </w:docPartPr>
      <w:docPartBody>
        <w:p>
          <w:r>
            <w:rPr>
              <w:color w:val="808080"/>
            </w:rPr>
            <w:t>单击此处输入文字。</w:t>
          </w:r>
        </w:p>
      </w:docPartBody>
    </w:docPart>
    <w:docPart>
      <w:docPartPr>
        <w:name w:val="{3a9adeac-5966-42bd-af82-acd59baaabd1}"/>
        <w:style w:val=""/>
        <w:category>
          <w:name w:val="常规"/>
          <w:gallery w:val="placeholder"/>
        </w:category>
        <w:types>
          <w:type w:val="bbPlcHdr"/>
        </w:types>
        <w:behaviors>
          <w:behavior w:val="content"/>
        </w:behaviors>
        <w:description w:val=""/>
        <w:guid w:val="{3a9adeac-5966-42bd-af82-acd59baaabd1}"/>
      </w:docPartPr>
      <w:docPartBody>
        <w:p>
          <w:r>
            <w:rPr>
              <w:color w:val="808080"/>
            </w:rPr>
            <w:t>单击此处输入文字。</w:t>
          </w:r>
        </w:p>
      </w:docPartBody>
    </w:docPart>
    <w:docPart>
      <w:docPartPr>
        <w:name w:val="{25dabf9e-fa01-41e7-bd6e-590171ba10ff}"/>
        <w:style w:val=""/>
        <w:category>
          <w:name w:val="常规"/>
          <w:gallery w:val="placeholder"/>
        </w:category>
        <w:types>
          <w:type w:val="bbPlcHdr"/>
        </w:types>
        <w:behaviors>
          <w:behavior w:val="content"/>
        </w:behaviors>
        <w:description w:val=""/>
        <w:guid w:val="{25dabf9e-fa01-41e7-bd6e-590171ba10ff}"/>
      </w:docPartPr>
      <w:docPartBody>
        <w:p>
          <w:r>
            <w:rPr>
              <w:color w:val="808080"/>
            </w:rPr>
            <w:t>单击此处输入文字。</w:t>
          </w:r>
        </w:p>
      </w:docPartBody>
    </w:docPart>
    <w:docPart>
      <w:docPartPr>
        <w:name w:val="{c73c14b1-e500-4f24-8d4c-9be391db3eaa}"/>
        <w:style w:val=""/>
        <w:category>
          <w:name w:val="常规"/>
          <w:gallery w:val="placeholder"/>
        </w:category>
        <w:types>
          <w:type w:val="bbPlcHdr"/>
        </w:types>
        <w:behaviors>
          <w:behavior w:val="content"/>
        </w:behaviors>
        <w:description w:val=""/>
        <w:guid w:val="{c73c14b1-e500-4f24-8d4c-9be391db3eaa}"/>
      </w:docPartPr>
      <w:docPartBody>
        <w:p>
          <w:r>
            <w:rPr>
              <w:color w:val="808080"/>
            </w:rPr>
            <w:t>单击此处输入文字。</w:t>
          </w:r>
        </w:p>
      </w:docPartBody>
    </w:docPart>
    <w:docPart>
      <w:docPartPr>
        <w:name w:val="{b2a04d05-967f-4879-b57c-36218e169f8d}"/>
        <w:style w:val=""/>
        <w:category>
          <w:name w:val="常规"/>
          <w:gallery w:val="placeholder"/>
        </w:category>
        <w:types>
          <w:type w:val="bbPlcHdr"/>
        </w:types>
        <w:behaviors>
          <w:behavior w:val="content"/>
        </w:behaviors>
        <w:description w:val=""/>
        <w:guid w:val="{b2a04d05-967f-4879-b57c-36218e169f8d}"/>
      </w:docPartPr>
      <w:docPartBody>
        <w:p>
          <w:r>
            <w:rPr>
              <w:color w:val="808080"/>
            </w:rPr>
            <w:t>单击此处输入文字。</w:t>
          </w:r>
        </w:p>
      </w:docPartBody>
    </w:docPart>
    <w:docPart>
      <w:docPartPr>
        <w:name w:val="{c61fbc28-a402-40e6-91a8-f3ca912651d5}"/>
        <w:style w:val=""/>
        <w:category>
          <w:name w:val="常规"/>
          <w:gallery w:val="placeholder"/>
        </w:category>
        <w:types>
          <w:type w:val="bbPlcHdr"/>
        </w:types>
        <w:behaviors>
          <w:behavior w:val="content"/>
        </w:behaviors>
        <w:description w:val=""/>
        <w:guid w:val="{c61fbc28-a402-40e6-91a8-f3ca912651d5}"/>
      </w:docPartPr>
      <w:docPartBody>
        <w:p>
          <w:r>
            <w:rPr>
              <w:color w:val="808080"/>
            </w:rPr>
            <w:t>单击此处输入文字。</w:t>
          </w:r>
        </w:p>
      </w:docPartBody>
    </w:docPart>
    <w:docPart>
      <w:docPartPr>
        <w:name w:val="{3221e7e4-2a61-4fa3-af0e-a2f6dd406da7}"/>
        <w:style w:val=""/>
        <w:category>
          <w:name w:val="常规"/>
          <w:gallery w:val="placeholder"/>
        </w:category>
        <w:types>
          <w:type w:val="bbPlcHdr"/>
        </w:types>
        <w:behaviors>
          <w:behavior w:val="content"/>
        </w:behaviors>
        <w:description w:val=""/>
        <w:guid w:val="{3221e7e4-2a61-4fa3-af0e-a2f6dd406da7}"/>
      </w:docPartPr>
      <w:docPartBody>
        <w:p>
          <w:r>
            <w:rPr>
              <w:color w:val="808080"/>
            </w:rPr>
            <w:t>单击此处输入文字。</w:t>
          </w:r>
        </w:p>
      </w:docPartBody>
    </w:docPart>
    <w:docPart>
      <w:docPartPr>
        <w:name w:val="{6295e2b2-8278-4ff0-9ad2-d8e4838f006e}"/>
        <w:style w:val=""/>
        <w:category>
          <w:name w:val="常规"/>
          <w:gallery w:val="placeholder"/>
        </w:category>
        <w:types>
          <w:type w:val="bbPlcHdr"/>
        </w:types>
        <w:behaviors>
          <w:behavior w:val="content"/>
        </w:behaviors>
        <w:description w:val=""/>
        <w:guid w:val="{6295e2b2-8278-4ff0-9ad2-d8e4838f006e}"/>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E0A1A3-EFE5-4141-BD78-3D6DF350F9F5}">
  <ds:schemaRefs/>
</ds:datastoreItem>
</file>

<file path=docProps/app.xml><?xml version="1.0" encoding="utf-8"?>
<Properties xmlns="http://schemas.openxmlformats.org/officeDocument/2006/extended-properties" xmlns:vt="http://schemas.openxmlformats.org/officeDocument/2006/docPropsVTypes">
  <Template>Normal</Template>
  <Pages>12</Pages>
  <Words>3744</Words>
  <Characters>4318</Characters>
  <Lines>31</Lines>
  <Paragraphs>8</Paragraphs>
  <TotalTime>1</TotalTime>
  <ScaleCrop>false</ScaleCrop>
  <LinksUpToDate>false</LinksUpToDate>
  <CharactersWithSpaces>4400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2017-10-31T03:37:00Z</dcterms:created>
  <dc:creator>czjysc</dc:creator>
  <cp:lastModifiedBy>贵阳科技馆</cp:lastModifiedBy>
  <cp:lastPrinted>2025-01-24T03:05:00Z</cp:lastPrinted>
  <dcterms:modified xsi:type="dcterms:W3CDTF">2025-02-25T06:12:03Z</dcterms:modified>
  <cp:revision>302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B8C9E0E3F1BB4452BFFC68EB4737112E</vt:lpwstr>
  </property>
</Properties>
</file>